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583C5" w14:textId="5EEF7DC6" w:rsidR="00EC4491" w:rsidRPr="004B7FC6" w:rsidRDefault="002807B0" w:rsidP="0063570E">
      <w:pPr>
        <w:spacing w:before="120" w:after="120"/>
        <w:jc w:val="center"/>
        <w:rPr>
          <w:rFonts w:ascii="Times New Roman" w:hAnsi="Times New Roman" w:cs="Times New Roman"/>
          <w:i/>
          <w:color w:val="auto"/>
          <w:sz w:val="26"/>
          <w:szCs w:val="26"/>
        </w:rPr>
      </w:pPr>
      <w:bookmarkStart w:id="0" w:name="_Hlk169193113"/>
      <w:bookmarkStart w:id="1" w:name="_Hlk169158499"/>
      <w:r w:rsidRPr="004B7FC6">
        <w:rPr>
          <w:rFonts w:ascii="Times New Roman" w:hAnsi="Times New Roman" w:cs="Times New Roman"/>
          <w:b/>
          <w:color w:val="auto"/>
          <w:sz w:val="26"/>
          <w:szCs w:val="26"/>
        </w:rPr>
        <w:t xml:space="preserve">DANH MỤC THỦ TỤC HÀNH CHÍNH </w:t>
      </w:r>
      <w:r w:rsidR="00C13EEA" w:rsidRPr="004B7FC6">
        <w:rPr>
          <w:rFonts w:ascii="Times New Roman" w:hAnsi="Times New Roman" w:cs="Times New Roman"/>
          <w:b/>
          <w:color w:val="auto"/>
          <w:sz w:val="26"/>
          <w:szCs w:val="26"/>
        </w:rPr>
        <w:t>LĨNH VỰC HOẠT ĐỘNG KHOA HỌC VÀ CÔNG NGHỆ</w:t>
      </w:r>
      <w:r w:rsidR="00E923C7" w:rsidRPr="004B7FC6">
        <w:rPr>
          <w:rFonts w:ascii="Times New Roman" w:hAnsi="Times New Roman" w:cs="Times New Roman"/>
          <w:b/>
          <w:color w:val="auto"/>
          <w:sz w:val="26"/>
          <w:szCs w:val="26"/>
        </w:rPr>
        <w:br/>
      </w:r>
      <w:r w:rsidRPr="004B7FC6">
        <w:rPr>
          <w:rFonts w:ascii="Times New Roman" w:hAnsi="Times New Roman" w:cs="Times New Roman"/>
          <w:b/>
          <w:color w:val="auto"/>
          <w:sz w:val="26"/>
          <w:szCs w:val="26"/>
        </w:rPr>
        <w:t xml:space="preserve">THUỘC </w:t>
      </w:r>
      <w:r w:rsidR="00055EBF" w:rsidRPr="004B7FC6">
        <w:rPr>
          <w:rFonts w:ascii="Times New Roman" w:hAnsi="Times New Roman" w:cs="Times New Roman"/>
          <w:b/>
          <w:color w:val="auto"/>
          <w:sz w:val="26"/>
          <w:szCs w:val="26"/>
        </w:rPr>
        <w:t xml:space="preserve">PHẠM VI CHỨC NĂNG QUẢN LÝ CỦA SỞ </w:t>
      </w:r>
      <w:r w:rsidR="00B52019" w:rsidRPr="004B7FC6">
        <w:rPr>
          <w:rFonts w:ascii="Times New Roman" w:hAnsi="Times New Roman" w:cs="Times New Roman"/>
          <w:b/>
          <w:color w:val="auto"/>
          <w:sz w:val="26"/>
          <w:szCs w:val="26"/>
        </w:rPr>
        <w:t>KHOA HỌC VÀ CÔNG NGHỆ</w:t>
      </w:r>
      <w:bookmarkEnd w:id="0"/>
      <w:r w:rsidR="00360849">
        <w:rPr>
          <w:rFonts w:ascii="Times New Roman" w:hAnsi="Times New Roman" w:cs="Times New Roman"/>
          <w:b/>
          <w:color w:val="auto"/>
          <w:sz w:val="26"/>
          <w:szCs w:val="26"/>
        </w:rPr>
        <w:t xml:space="preserve"> PHÚ YÊN</w:t>
      </w:r>
      <w:r w:rsidR="00E923C7" w:rsidRPr="004B7FC6">
        <w:rPr>
          <w:rFonts w:ascii="Times New Roman" w:hAnsi="Times New Roman" w:cs="Times New Roman"/>
          <w:b/>
          <w:color w:val="auto"/>
          <w:sz w:val="26"/>
          <w:szCs w:val="26"/>
        </w:rPr>
        <w:br/>
      </w:r>
      <w:r w:rsidRPr="004B7FC6">
        <w:rPr>
          <w:rFonts w:ascii="Times New Roman" w:hAnsi="Times New Roman" w:cs="Times New Roman"/>
          <w:i/>
          <w:color w:val="auto"/>
          <w:sz w:val="26"/>
          <w:szCs w:val="26"/>
        </w:rPr>
        <w:t>(</w:t>
      </w:r>
      <w:r w:rsidR="00162749" w:rsidRPr="004B7FC6">
        <w:rPr>
          <w:rFonts w:ascii="Times New Roman" w:hAnsi="Times New Roman" w:cs="Times New Roman"/>
          <w:i/>
          <w:color w:val="auto"/>
          <w:sz w:val="26"/>
          <w:szCs w:val="26"/>
        </w:rPr>
        <w:t>K</w:t>
      </w:r>
      <w:r w:rsidRPr="004B7FC6">
        <w:rPr>
          <w:rFonts w:ascii="Times New Roman" w:hAnsi="Times New Roman" w:cs="Times New Roman"/>
          <w:i/>
          <w:color w:val="auto"/>
          <w:sz w:val="26"/>
          <w:szCs w:val="26"/>
        </w:rPr>
        <w:t>èm theo Quyết định số</w:t>
      </w:r>
      <w:r w:rsidR="00162749" w:rsidRPr="004B7FC6">
        <w:rPr>
          <w:rFonts w:ascii="Times New Roman" w:hAnsi="Times New Roman" w:cs="Times New Roman"/>
          <w:i/>
          <w:color w:val="auto"/>
          <w:sz w:val="26"/>
          <w:szCs w:val="26"/>
        </w:rPr>
        <w:t xml:space="preserve">  </w:t>
      </w:r>
      <w:r w:rsidR="00722D35" w:rsidRPr="004B7FC6">
        <w:rPr>
          <w:rFonts w:ascii="Times New Roman" w:hAnsi="Times New Roman" w:cs="Times New Roman"/>
          <w:i/>
          <w:color w:val="auto"/>
          <w:sz w:val="26"/>
          <w:szCs w:val="26"/>
        </w:rPr>
        <w:t xml:space="preserve">       </w:t>
      </w:r>
      <w:r w:rsidR="00162749" w:rsidRPr="004B7FC6">
        <w:rPr>
          <w:rFonts w:ascii="Times New Roman" w:hAnsi="Times New Roman" w:cs="Times New Roman"/>
          <w:i/>
          <w:color w:val="auto"/>
          <w:sz w:val="26"/>
          <w:szCs w:val="26"/>
        </w:rPr>
        <w:t xml:space="preserve"> </w:t>
      </w:r>
      <w:r w:rsidR="00C13EEA" w:rsidRPr="004B7FC6">
        <w:rPr>
          <w:rFonts w:ascii="Times New Roman" w:hAnsi="Times New Roman" w:cs="Times New Roman"/>
          <w:i/>
          <w:color w:val="auto"/>
          <w:sz w:val="26"/>
          <w:szCs w:val="26"/>
        </w:rPr>
        <w:t xml:space="preserve"> </w:t>
      </w:r>
      <w:r w:rsidRPr="004B7FC6">
        <w:rPr>
          <w:rFonts w:ascii="Times New Roman" w:hAnsi="Times New Roman" w:cs="Times New Roman"/>
          <w:i/>
          <w:color w:val="auto"/>
          <w:sz w:val="26"/>
          <w:szCs w:val="26"/>
        </w:rPr>
        <w:t>/QĐ-UBND ngày</w:t>
      </w:r>
      <w:r w:rsidR="00162749" w:rsidRPr="004B7FC6">
        <w:rPr>
          <w:rFonts w:ascii="Times New Roman" w:hAnsi="Times New Roman" w:cs="Times New Roman"/>
          <w:i/>
          <w:color w:val="auto"/>
          <w:sz w:val="26"/>
          <w:szCs w:val="26"/>
        </w:rPr>
        <w:t xml:space="preserve"> </w:t>
      </w:r>
      <w:r w:rsidR="00722D35" w:rsidRPr="004B7FC6">
        <w:rPr>
          <w:rFonts w:ascii="Times New Roman" w:hAnsi="Times New Roman" w:cs="Times New Roman"/>
          <w:i/>
          <w:color w:val="auto"/>
          <w:sz w:val="26"/>
          <w:szCs w:val="26"/>
        </w:rPr>
        <w:t xml:space="preserve"> </w:t>
      </w:r>
      <w:r w:rsidR="00162749" w:rsidRPr="004B7FC6">
        <w:rPr>
          <w:rFonts w:ascii="Times New Roman" w:hAnsi="Times New Roman" w:cs="Times New Roman"/>
          <w:i/>
          <w:color w:val="auto"/>
          <w:sz w:val="26"/>
          <w:szCs w:val="26"/>
        </w:rPr>
        <w:t xml:space="preserve"> </w:t>
      </w:r>
      <w:r w:rsidR="00722D35" w:rsidRPr="004B7FC6">
        <w:rPr>
          <w:rFonts w:ascii="Times New Roman" w:hAnsi="Times New Roman" w:cs="Times New Roman"/>
          <w:i/>
          <w:color w:val="auto"/>
          <w:sz w:val="26"/>
          <w:szCs w:val="26"/>
        </w:rPr>
        <w:t xml:space="preserve">  </w:t>
      </w:r>
      <w:r w:rsidRPr="004B7FC6">
        <w:rPr>
          <w:rFonts w:ascii="Times New Roman" w:hAnsi="Times New Roman" w:cs="Times New Roman"/>
          <w:i/>
          <w:color w:val="auto"/>
          <w:sz w:val="26"/>
          <w:szCs w:val="26"/>
        </w:rPr>
        <w:t>tháng</w:t>
      </w:r>
      <w:r w:rsidR="00162749" w:rsidRPr="004B7FC6">
        <w:rPr>
          <w:rFonts w:ascii="Times New Roman" w:hAnsi="Times New Roman" w:cs="Times New Roman"/>
          <w:i/>
          <w:color w:val="auto"/>
          <w:sz w:val="26"/>
          <w:szCs w:val="26"/>
        </w:rPr>
        <w:t xml:space="preserve">  </w:t>
      </w:r>
      <w:r w:rsidR="00722D35" w:rsidRPr="004B7FC6">
        <w:rPr>
          <w:rFonts w:ascii="Times New Roman" w:hAnsi="Times New Roman" w:cs="Times New Roman"/>
          <w:i/>
          <w:color w:val="auto"/>
          <w:sz w:val="26"/>
          <w:szCs w:val="26"/>
        </w:rPr>
        <w:t xml:space="preserve">   </w:t>
      </w:r>
      <w:r w:rsidRPr="004B7FC6">
        <w:rPr>
          <w:rFonts w:ascii="Times New Roman" w:hAnsi="Times New Roman" w:cs="Times New Roman"/>
          <w:i/>
          <w:color w:val="auto"/>
          <w:sz w:val="26"/>
          <w:szCs w:val="26"/>
        </w:rPr>
        <w:t>năm</w:t>
      </w:r>
      <w:r w:rsidR="00C13EEA" w:rsidRPr="004B7FC6">
        <w:rPr>
          <w:rFonts w:ascii="Times New Roman" w:hAnsi="Times New Roman" w:cs="Times New Roman"/>
          <w:i/>
          <w:color w:val="auto"/>
          <w:sz w:val="26"/>
          <w:szCs w:val="26"/>
        </w:rPr>
        <w:t xml:space="preserve"> 202</w:t>
      </w:r>
      <w:r w:rsidR="000852E0" w:rsidRPr="004B7FC6">
        <w:rPr>
          <w:rFonts w:ascii="Times New Roman" w:hAnsi="Times New Roman" w:cs="Times New Roman"/>
          <w:i/>
          <w:color w:val="auto"/>
          <w:sz w:val="26"/>
          <w:szCs w:val="26"/>
        </w:rPr>
        <w:t>5</w:t>
      </w:r>
      <w:r w:rsidRPr="004B7FC6">
        <w:rPr>
          <w:rFonts w:ascii="Times New Roman" w:hAnsi="Times New Roman" w:cs="Times New Roman"/>
          <w:i/>
          <w:color w:val="auto"/>
          <w:sz w:val="26"/>
          <w:szCs w:val="26"/>
        </w:rPr>
        <w:t xml:space="preserve"> của Chủ tịch Ủy ban nhân dân </w:t>
      </w:r>
      <w:r w:rsidR="00360849">
        <w:rPr>
          <w:rFonts w:ascii="Times New Roman" w:hAnsi="Times New Roman" w:cs="Times New Roman"/>
          <w:i/>
          <w:color w:val="auto"/>
          <w:sz w:val="26"/>
          <w:szCs w:val="26"/>
        </w:rPr>
        <w:t>tỉnh Phú Yên</w:t>
      </w:r>
      <w:r w:rsidRPr="004B7FC6">
        <w:rPr>
          <w:rFonts w:ascii="Times New Roman" w:hAnsi="Times New Roman" w:cs="Times New Roman"/>
          <w:i/>
          <w:color w:val="auto"/>
          <w:sz w:val="26"/>
          <w:szCs w:val="26"/>
        </w:rPr>
        <w:t>)</w:t>
      </w:r>
    </w:p>
    <w:p w14:paraId="0D6CDD3C" w14:textId="5E1BD53E" w:rsidR="00C13EEA" w:rsidRPr="004B7FC6" w:rsidRDefault="002B14F3" w:rsidP="0063570E">
      <w:pPr>
        <w:tabs>
          <w:tab w:val="left" w:pos="426"/>
        </w:tabs>
        <w:spacing w:before="120" w:after="120"/>
        <w:contextualSpacing/>
        <w:jc w:val="both"/>
        <w:rPr>
          <w:rFonts w:ascii="Times New Roman" w:hAnsi="Times New Roman" w:cs="Times New Roman"/>
          <w:i/>
          <w:color w:val="auto"/>
          <w:sz w:val="26"/>
          <w:szCs w:val="26"/>
        </w:rPr>
      </w:pPr>
      <w:r>
        <w:rPr>
          <w:rFonts w:ascii="Times New Roman" w:hAnsi="Times New Roman" w:cs="Times New Roman"/>
          <w:i/>
          <w:color w:val="auto"/>
          <w:sz w:val="26"/>
          <w:szCs w:val="26"/>
          <w:lang w:eastAsia="en-US"/>
        </w:rPr>
        <mc:AlternateContent>
          <mc:Choice Requires="wps">
            <w:drawing>
              <wp:anchor distT="0" distB="0" distL="114300" distR="114300" simplePos="0" relativeHeight="251657728" behindDoc="0" locked="0" layoutInCell="1" allowOverlap="1" wp14:anchorId="357550A9" wp14:editId="185709B3">
                <wp:simplePos x="0" y="0"/>
                <wp:positionH relativeFrom="column">
                  <wp:posOffset>3356610</wp:posOffset>
                </wp:positionH>
                <wp:positionV relativeFrom="paragraph">
                  <wp:posOffset>61595</wp:posOffset>
                </wp:positionV>
                <wp:extent cx="2162175" cy="0"/>
                <wp:effectExtent l="7620" t="10795" r="1143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138401" id="_x0000_t32" coordsize="21600,21600" o:spt="32" o:oned="t" path="m,l21600,21600e" filled="f">
                <v:path arrowok="t" fillok="f" o:connecttype="none"/>
                <o:lock v:ext="edit" shapetype="t"/>
              </v:shapetype>
              <v:shape id="AutoShape 2" o:spid="_x0000_s1026" type="#_x0000_t32" style="position:absolute;margin-left:264.3pt;margin-top:4.85pt;width:17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r/HQ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"/>
            </w:pict>
          </mc:Fallback>
        </mc:AlternateContent>
      </w:r>
    </w:p>
    <w:p w14:paraId="246FF0E9" w14:textId="6FE640BB" w:rsidR="007F1F90" w:rsidRPr="00A93608" w:rsidRDefault="00326D03" w:rsidP="0063570E">
      <w:pPr>
        <w:spacing w:before="120" w:after="120"/>
        <w:ind w:firstLine="709"/>
        <w:contextualSpacing/>
        <w:jc w:val="both"/>
        <w:rPr>
          <w:rFonts w:ascii="Times New Roman" w:hAnsi="Times New Roman" w:cs="Times New Roman"/>
          <w:b/>
          <w:color w:val="auto"/>
          <w:sz w:val="26"/>
          <w:szCs w:val="26"/>
        </w:rPr>
      </w:pPr>
      <w:bookmarkStart w:id="2" w:name="_Hlk169193126"/>
      <w:r w:rsidRPr="00A93608">
        <w:rPr>
          <w:rFonts w:ascii="Times New Roman" w:hAnsi="Times New Roman" w:cs="Times New Roman"/>
          <w:b/>
          <w:color w:val="auto"/>
          <w:sz w:val="26"/>
          <w:szCs w:val="26"/>
        </w:rPr>
        <w:t xml:space="preserve">A. </w:t>
      </w:r>
      <w:r w:rsidR="00926795" w:rsidRPr="00A93608">
        <w:rPr>
          <w:rFonts w:ascii="Times New Roman" w:hAnsi="Times New Roman" w:cs="Times New Roman"/>
          <w:b/>
          <w:color w:val="auto"/>
          <w:sz w:val="26"/>
          <w:szCs w:val="26"/>
        </w:rPr>
        <w:t xml:space="preserve">DANH MỤC </w:t>
      </w:r>
      <w:r w:rsidR="002807B0" w:rsidRPr="00A93608">
        <w:rPr>
          <w:rFonts w:ascii="Times New Roman" w:hAnsi="Times New Roman" w:cs="Times New Roman"/>
          <w:b/>
          <w:color w:val="auto"/>
          <w:sz w:val="26"/>
          <w:szCs w:val="26"/>
        </w:rPr>
        <w:t>THỦ TỤC HÀNH CHÍNH</w:t>
      </w:r>
      <w:r w:rsidR="00F24BBA" w:rsidRPr="00A93608">
        <w:rPr>
          <w:rFonts w:ascii="Times New Roman" w:hAnsi="Times New Roman" w:cs="Times New Roman"/>
          <w:b/>
          <w:color w:val="auto"/>
          <w:sz w:val="26"/>
          <w:szCs w:val="26"/>
          <w:lang w:val="vi-VN"/>
        </w:rPr>
        <w:t xml:space="preserve"> </w:t>
      </w:r>
      <w:r w:rsidR="00DE4E0A" w:rsidRPr="00A93608">
        <w:rPr>
          <w:rFonts w:ascii="Times New Roman" w:hAnsi="Times New Roman" w:cs="Times New Roman"/>
          <w:b/>
          <w:color w:val="auto"/>
          <w:sz w:val="26"/>
          <w:szCs w:val="26"/>
        </w:rPr>
        <w:t>MỚI BAN HÀNH</w:t>
      </w:r>
      <w:r w:rsidR="00465D7A" w:rsidRPr="00A93608">
        <w:rPr>
          <w:rFonts w:ascii="Times New Roman" w:hAnsi="Times New Roman" w:cs="Times New Roman"/>
          <w:b/>
          <w:color w:val="auto"/>
          <w:sz w:val="26"/>
          <w:szCs w:val="26"/>
          <w:lang w:val="vi-VN"/>
        </w:rPr>
        <w:t xml:space="preserve"> </w:t>
      </w:r>
      <w:r w:rsidR="00465D7A" w:rsidRPr="00A93608">
        <w:rPr>
          <w:rFonts w:ascii="Times New Roman" w:hAnsi="Times New Roman" w:cs="Times New Roman"/>
          <w:b/>
          <w:color w:val="auto"/>
          <w:sz w:val="26"/>
          <w:szCs w:val="26"/>
        </w:rPr>
        <w:t xml:space="preserve">THUỘC THẨM QUYỀN TIẾP NHẬN CỦA </w:t>
      </w:r>
      <w:r w:rsidR="00EB5DC9" w:rsidRPr="00A93608">
        <w:rPr>
          <w:rFonts w:ascii="Times New Roman" w:hAnsi="Times New Roman" w:cs="Times New Roman"/>
          <w:b/>
          <w:color w:val="auto"/>
          <w:sz w:val="26"/>
          <w:szCs w:val="26"/>
        </w:rPr>
        <w:t>UBND CẤP TỈNH HOẶC CƠ QUAN, ĐƠN VỊ ĐƯỢC PHÂN CẤ</w:t>
      </w:r>
      <w:r w:rsidR="00F06000" w:rsidRPr="00A93608">
        <w:rPr>
          <w:rFonts w:ascii="Times New Roman" w:hAnsi="Times New Roman" w:cs="Times New Roman"/>
          <w:b/>
          <w:color w:val="auto"/>
          <w:sz w:val="26"/>
          <w:szCs w:val="26"/>
        </w:rPr>
        <w:t>P/</w:t>
      </w:r>
      <w:r w:rsidR="00EB5DC9" w:rsidRPr="00A93608">
        <w:rPr>
          <w:rFonts w:ascii="Times New Roman" w:hAnsi="Times New Roman" w:cs="Times New Roman"/>
          <w:b/>
          <w:color w:val="auto"/>
          <w:sz w:val="26"/>
          <w:szCs w:val="26"/>
        </w:rPr>
        <w:t>ỦY QUYỀN</w:t>
      </w:r>
      <w:r w:rsidR="001A6280" w:rsidRPr="00A93608">
        <w:rPr>
          <w:rFonts w:ascii="Times New Roman" w:hAnsi="Times New Roman" w:cs="Times New Roman"/>
          <w:b/>
          <w:color w:val="auto"/>
          <w:sz w:val="26"/>
          <w:szCs w:val="26"/>
        </w:rPr>
        <w:t>.</w:t>
      </w:r>
      <w:bookmarkStart w:id="3" w:name="_GoBack"/>
      <w:bookmarkEnd w:id="3"/>
    </w:p>
    <w:p w14:paraId="5B6DE2B5" w14:textId="77777777" w:rsidR="0063570E" w:rsidRPr="00A93608" w:rsidRDefault="0063570E" w:rsidP="0063570E">
      <w:pPr>
        <w:spacing w:before="120" w:after="120"/>
        <w:ind w:firstLine="709"/>
        <w:contextualSpacing/>
        <w:jc w:val="both"/>
        <w:rPr>
          <w:rFonts w:ascii="Times New Roman" w:hAnsi="Times New Roman" w:cs="Times New Roman"/>
          <w:b/>
          <w:color w:val="auto"/>
          <w:sz w:val="26"/>
          <w:szCs w:val="26"/>
        </w:rPr>
      </w:pPr>
    </w:p>
    <w:tbl>
      <w:tblPr>
        <w:tblW w:w="543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671"/>
        <w:gridCol w:w="1948"/>
        <w:gridCol w:w="1675"/>
        <w:gridCol w:w="924"/>
        <w:gridCol w:w="2976"/>
        <w:gridCol w:w="5449"/>
      </w:tblGrid>
      <w:tr w:rsidR="00A93608" w:rsidRPr="00A93608" w14:paraId="502E8D25" w14:textId="77777777" w:rsidTr="00C7485A">
        <w:trPr>
          <w:trHeight w:val="898"/>
          <w:tblHeader/>
        </w:trPr>
        <w:tc>
          <w:tcPr>
            <w:tcW w:w="183" w:type="pct"/>
            <w:shd w:val="clear" w:color="auto" w:fill="auto"/>
            <w:vAlign w:val="center"/>
          </w:tcPr>
          <w:p w14:paraId="2C760794" w14:textId="2CAABD3E" w:rsidR="00C77C33" w:rsidRPr="00A93608" w:rsidRDefault="00C77C33" w:rsidP="0063570E">
            <w:pPr>
              <w:spacing w:before="120" w:after="120"/>
              <w:contextualSpacing/>
              <w:jc w:val="center"/>
              <w:rPr>
                <w:rFonts w:ascii="Times New Roman" w:hAnsi="Times New Roman" w:cs="Times New Roman"/>
                <w:b/>
                <w:color w:val="auto"/>
                <w:sz w:val="26"/>
                <w:szCs w:val="26"/>
              </w:rPr>
            </w:pPr>
            <w:r w:rsidRPr="00A93608">
              <w:rPr>
                <w:rFonts w:ascii="Times New Roman" w:hAnsi="Times New Roman" w:cs="Times New Roman"/>
                <w:b/>
                <w:color w:val="auto"/>
                <w:sz w:val="26"/>
                <w:szCs w:val="26"/>
              </w:rPr>
              <w:t>TT</w:t>
            </w:r>
          </w:p>
        </w:tc>
        <w:tc>
          <w:tcPr>
            <w:tcW w:w="551" w:type="pct"/>
            <w:shd w:val="clear" w:color="auto" w:fill="auto"/>
            <w:vAlign w:val="center"/>
          </w:tcPr>
          <w:p w14:paraId="470D7562" w14:textId="2D2AC4AC" w:rsidR="00C77C33" w:rsidRPr="00A93608" w:rsidRDefault="00C77C33" w:rsidP="0063570E">
            <w:pPr>
              <w:spacing w:before="120" w:after="120"/>
              <w:contextualSpacing/>
              <w:jc w:val="center"/>
              <w:rPr>
                <w:rFonts w:ascii="Times New Roman" w:hAnsi="Times New Roman" w:cs="Times New Roman"/>
                <w:b/>
                <w:color w:val="auto"/>
                <w:sz w:val="26"/>
                <w:szCs w:val="26"/>
              </w:rPr>
            </w:pPr>
            <w:r w:rsidRPr="00A93608">
              <w:rPr>
                <w:rFonts w:ascii="Times New Roman" w:hAnsi="Times New Roman" w:cs="Times New Roman"/>
                <w:b/>
                <w:color w:val="auto"/>
                <w:sz w:val="26"/>
                <w:szCs w:val="26"/>
              </w:rPr>
              <w:t>Tên thủ tục hành chính</w:t>
            </w:r>
          </w:p>
        </w:tc>
        <w:tc>
          <w:tcPr>
            <w:tcW w:w="642" w:type="pct"/>
            <w:shd w:val="clear" w:color="auto" w:fill="auto"/>
            <w:vAlign w:val="center"/>
          </w:tcPr>
          <w:p w14:paraId="6A5D086A" w14:textId="5CC7C975" w:rsidR="00C77C33" w:rsidRPr="00A93608" w:rsidRDefault="00C77C33" w:rsidP="0063570E">
            <w:pPr>
              <w:spacing w:before="120" w:after="120"/>
              <w:contextualSpacing/>
              <w:jc w:val="center"/>
              <w:rPr>
                <w:rFonts w:ascii="Times New Roman" w:hAnsi="Times New Roman" w:cs="Times New Roman"/>
                <w:b/>
                <w:color w:val="auto"/>
                <w:sz w:val="26"/>
                <w:szCs w:val="26"/>
              </w:rPr>
            </w:pPr>
            <w:r w:rsidRPr="00A93608">
              <w:rPr>
                <w:rFonts w:ascii="Times New Roman" w:hAnsi="Times New Roman" w:cs="Times New Roman"/>
                <w:b/>
                <w:color w:val="auto"/>
                <w:sz w:val="26"/>
                <w:szCs w:val="26"/>
              </w:rPr>
              <w:t>Thời hạn</w:t>
            </w:r>
            <w:r w:rsidRPr="00A93608">
              <w:rPr>
                <w:rFonts w:ascii="Times New Roman" w:hAnsi="Times New Roman" w:cs="Times New Roman"/>
                <w:b/>
                <w:color w:val="auto"/>
                <w:sz w:val="26"/>
                <w:szCs w:val="26"/>
              </w:rPr>
              <w:br/>
              <w:t>giải quyết</w:t>
            </w:r>
          </w:p>
        </w:tc>
        <w:tc>
          <w:tcPr>
            <w:tcW w:w="552" w:type="pct"/>
            <w:shd w:val="clear" w:color="auto" w:fill="auto"/>
            <w:vAlign w:val="center"/>
          </w:tcPr>
          <w:p w14:paraId="0E18C638" w14:textId="77887893" w:rsidR="00C77C33" w:rsidRPr="00A93608" w:rsidRDefault="00C77C33" w:rsidP="0063570E">
            <w:pPr>
              <w:spacing w:before="120" w:after="120"/>
              <w:contextualSpacing/>
              <w:jc w:val="center"/>
              <w:rPr>
                <w:rFonts w:ascii="Times New Roman" w:hAnsi="Times New Roman" w:cs="Times New Roman"/>
                <w:b/>
                <w:color w:val="auto"/>
                <w:sz w:val="26"/>
                <w:szCs w:val="26"/>
              </w:rPr>
            </w:pPr>
            <w:r w:rsidRPr="00A93608">
              <w:rPr>
                <w:rFonts w:ascii="Times New Roman" w:hAnsi="Times New Roman" w:cs="Times New Roman"/>
                <w:b/>
                <w:color w:val="auto"/>
                <w:sz w:val="26"/>
                <w:szCs w:val="26"/>
              </w:rPr>
              <w:t>Địa điểm thực hiện</w:t>
            </w:r>
          </w:p>
        </w:tc>
        <w:tc>
          <w:tcPr>
            <w:tcW w:w="299" w:type="pct"/>
            <w:shd w:val="clear" w:color="auto" w:fill="auto"/>
            <w:vAlign w:val="center"/>
          </w:tcPr>
          <w:p w14:paraId="6779018C" w14:textId="71199602" w:rsidR="00C77C33" w:rsidRPr="00A93608" w:rsidRDefault="00C77C33" w:rsidP="0063570E">
            <w:pPr>
              <w:spacing w:before="120" w:after="120"/>
              <w:contextualSpacing/>
              <w:jc w:val="center"/>
              <w:rPr>
                <w:rFonts w:ascii="Times New Roman" w:hAnsi="Times New Roman" w:cs="Times New Roman"/>
                <w:b/>
                <w:color w:val="auto"/>
                <w:sz w:val="26"/>
                <w:szCs w:val="26"/>
              </w:rPr>
            </w:pPr>
            <w:r w:rsidRPr="00A93608">
              <w:rPr>
                <w:rFonts w:ascii="Times New Roman" w:hAnsi="Times New Roman" w:cs="Times New Roman"/>
                <w:b/>
                <w:color w:val="auto"/>
                <w:sz w:val="26"/>
                <w:szCs w:val="26"/>
              </w:rPr>
              <w:t xml:space="preserve">Phí, </w:t>
            </w:r>
            <w:r w:rsidRPr="00A93608">
              <w:rPr>
                <w:rFonts w:ascii="Times New Roman" w:hAnsi="Times New Roman" w:cs="Times New Roman"/>
                <w:b/>
                <w:color w:val="auto"/>
                <w:sz w:val="26"/>
                <w:szCs w:val="26"/>
              </w:rPr>
              <w:br/>
              <w:t>lệ phí</w:t>
            </w:r>
          </w:p>
        </w:tc>
        <w:tc>
          <w:tcPr>
            <w:tcW w:w="980" w:type="pct"/>
            <w:shd w:val="clear" w:color="auto" w:fill="auto"/>
            <w:vAlign w:val="center"/>
          </w:tcPr>
          <w:p w14:paraId="283D4256" w14:textId="4A24CBD2" w:rsidR="00C77C33" w:rsidRPr="00A93608" w:rsidRDefault="00C77C33" w:rsidP="0063570E">
            <w:pPr>
              <w:spacing w:before="120" w:after="120"/>
              <w:contextualSpacing/>
              <w:jc w:val="center"/>
              <w:rPr>
                <w:rFonts w:ascii="Times New Roman" w:hAnsi="Times New Roman" w:cs="Times New Roman"/>
                <w:b/>
                <w:color w:val="auto"/>
                <w:sz w:val="26"/>
                <w:szCs w:val="26"/>
              </w:rPr>
            </w:pPr>
            <w:r w:rsidRPr="00A93608">
              <w:rPr>
                <w:rFonts w:ascii="Times New Roman" w:hAnsi="Times New Roman" w:cs="Times New Roman"/>
                <w:b/>
                <w:color w:val="auto"/>
                <w:sz w:val="26"/>
                <w:szCs w:val="26"/>
              </w:rPr>
              <w:t>Căn cứ pháp lý</w:t>
            </w:r>
          </w:p>
        </w:tc>
        <w:tc>
          <w:tcPr>
            <w:tcW w:w="1793" w:type="pct"/>
            <w:shd w:val="clear" w:color="auto" w:fill="auto"/>
            <w:vAlign w:val="center"/>
          </w:tcPr>
          <w:p w14:paraId="512694FD" w14:textId="00AC0EF6" w:rsidR="00C77C33" w:rsidRPr="00A93608" w:rsidRDefault="00C77C33" w:rsidP="0063570E">
            <w:pPr>
              <w:spacing w:before="120" w:after="120"/>
              <w:ind w:left="-25"/>
              <w:contextualSpacing/>
              <w:jc w:val="center"/>
              <w:rPr>
                <w:rFonts w:ascii="Times New Roman" w:hAnsi="Times New Roman" w:cs="Times New Roman"/>
                <w:b/>
                <w:color w:val="auto"/>
                <w:sz w:val="26"/>
                <w:szCs w:val="26"/>
              </w:rPr>
            </w:pPr>
            <w:r w:rsidRPr="00A93608">
              <w:rPr>
                <w:rFonts w:ascii="Times New Roman" w:hAnsi="Times New Roman" w:cs="Times New Roman"/>
                <w:b/>
                <w:color w:val="auto"/>
                <w:sz w:val="26"/>
                <w:szCs w:val="26"/>
              </w:rPr>
              <w:t>Ghi chú</w:t>
            </w:r>
          </w:p>
        </w:tc>
      </w:tr>
      <w:tr w:rsidR="00A93608" w:rsidRPr="00A93608" w14:paraId="69B8C59E" w14:textId="77777777" w:rsidTr="00C7485A">
        <w:tc>
          <w:tcPr>
            <w:tcW w:w="183" w:type="pct"/>
            <w:shd w:val="clear" w:color="auto" w:fill="auto"/>
          </w:tcPr>
          <w:p w14:paraId="24E9991D" w14:textId="77777777" w:rsidR="00C77C33" w:rsidRPr="00A93608" w:rsidRDefault="00C77C33" w:rsidP="0063570E">
            <w:pPr>
              <w:numPr>
                <w:ilvl w:val="0"/>
                <w:numId w:val="19"/>
              </w:numPr>
              <w:spacing w:before="120" w:after="120"/>
              <w:contextualSpacing/>
              <w:jc w:val="both"/>
              <w:rPr>
                <w:rFonts w:ascii="Times New Roman" w:hAnsi="Times New Roman" w:cs="Times New Roman"/>
                <w:b/>
                <w:color w:val="auto"/>
                <w:sz w:val="26"/>
                <w:szCs w:val="26"/>
              </w:rPr>
            </w:pPr>
          </w:p>
        </w:tc>
        <w:tc>
          <w:tcPr>
            <w:tcW w:w="551" w:type="pct"/>
            <w:shd w:val="clear" w:color="auto" w:fill="auto"/>
          </w:tcPr>
          <w:p w14:paraId="30A3AAC1" w14:textId="72D3F8FE" w:rsidR="00C77C33" w:rsidRPr="00A93608" w:rsidRDefault="00C77C33" w:rsidP="0063570E">
            <w:pPr>
              <w:spacing w:before="120" w:after="120"/>
              <w:jc w:val="both"/>
              <w:rPr>
                <w:rFonts w:ascii="Times New Roman" w:hAnsi="Times New Roman" w:cs="Times New Roman"/>
                <w:bCs/>
                <w:color w:val="auto"/>
                <w:sz w:val="26"/>
                <w:szCs w:val="26"/>
              </w:rPr>
            </w:pPr>
            <w:r w:rsidRPr="00A93608">
              <w:rPr>
                <w:rFonts w:ascii="Times New Roman" w:hAnsi="Times New Roman" w:cs="Times New Roman"/>
                <w:color w:val="auto"/>
                <w:sz w:val="26"/>
                <w:szCs w:val="26"/>
              </w:rPr>
              <w:t>Thủ tục xác định nhiệm vụ khoa học và công nghệ cấp tỉnh sử dụng ngân sách nhà nước</w:t>
            </w:r>
          </w:p>
        </w:tc>
        <w:tc>
          <w:tcPr>
            <w:tcW w:w="642" w:type="pct"/>
            <w:shd w:val="clear" w:color="auto" w:fill="auto"/>
          </w:tcPr>
          <w:p w14:paraId="11DA70F4" w14:textId="7449ED9E" w:rsidR="00C77C33" w:rsidRPr="00A93608" w:rsidRDefault="00C77C33" w:rsidP="0063570E">
            <w:pPr>
              <w:spacing w:before="120" w:after="120"/>
              <w:contextualSpacing/>
              <w:jc w:val="center"/>
              <w:rPr>
                <w:rFonts w:ascii="Times New Roman" w:hAnsi="Times New Roman" w:cs="Times New Roman"/>
                <w:b/>
                <w:color w:val="auto"/>
                <w:sz w:val="26"/>
                <w:szCs w:val="26"/>
              </w:rPr>
            </w:pPr>
            <w:r w:rsidRPr="00A93608">
              <w:rPr>
                <w:rFonts w:ascii="Times New Roman" w:hAnsi="Times New Roman" w:cs="Times New Roman"/>
                <w:color w:val="auto"/>
                <w:sz w:val="26"/>
                <w:szCs w:val="26"/>
              </w:rPr>
              <w:t>Không quy định</w:t>
            </w:r>
          </w:p>
        </w:tc>
        <w:tc>
          <w:tcPr>
            <w:tcW w:w="552" w:type="pct"/>
            <w:shd w:val="clear" w:color="auto" w:fill="auto"/>
          </w:tcPr>
          <w:p w14:paraId="042BF505" w14:textId="63CE374D" w:rsidR="00C77C33" w:rsidRPr="00A93608" w:rsidRDefault="00043488" w:rsidP="00EF67AE">
            <w:pPr>
              <w:spacing w:before="120" w:after="120"/>
              <w:jc w:val="both"/>
              <w:rPr>
                <w:rFonts w:ascii="Times New Roman" w:hAnsi="Times New Roman" w:cs="Times New Roman"/>
                <w:b/>
                <w:color w:val="auto"/>
                <w:sz w:val="26"/>
                <w:szCs w:val="26"/>
              </w:rPr>
            </w:pPr>
            <w:r w:rsidRPr="00A93608">
              <w:rPr>
                <w:rFonts w:ascii="Times New Roman" w:hAnsi="Times New Roman" w:cs="Times New Roman"/>
                <w:color w:val="auto"/>
                <w:sz w:val="26"/>
                <w:szCs w:val="26"/>
              </w:rPr>
              <w:t>UBND cấp tỉnh hoặc cơ quan, đơn vị được UBND cấp tỉnh phân cấp/ủy quyền</w:t>
            </w:r>
          </w:p>
        </w:tc>
        <w:tc>
          <w:tcPr>
            <w:tcW w:w="299" w:type="pct"/>
            <w:shd w:val="clear" w:color="auto" w:fill="auto"/>
          </w:tcPr>
          <w:p w14:paraId="25637305" w14:textId="1DC43825" w:rsidR="00C77C33" w:rsidRPr="00A93608" w:rsidRDefault="00C77C33" w:rsidP="0063570E">
            <w:pPr>
              <w:spacing w:before="120" w:after="120"/>
              <w:contextualSpacing/>
              <w:jc w:val="both"/>
              <w:rPr>
                <w:rFonts w:ascii="Times New Roman" w:hAnsi="Times New Roman" w:cs="Times New Roman"/>
                <w:b/>
                <w:color w:val="auto"/>
                <w:sz w:val="26"/>
                <w:szCs w:val="26"/>
              </w:rPr>
            </w:pPr>
            <w:r w:rsidRPr="00A93608">
              <w:rPr>
                <w:rFonts w:ascii="Times New Roman" w:hAnsi="Times New Roman" w:cs="Times New Roman"/>
                <w:bCs/>
                <w:color w:val="auto"/>
                <w:sz w:val="26"/>
                <w:szCs w:val="26"/>
              </w:rPr>
              <w:t>Không</w:t>
            </w:r>
          </w:p>
        </w:tc>
        <w:tc>
          <w:tcPr>
            <w:tcW w:w="980" w:type="pct"/>
            <w:shd w:val="clear" w:color="auto" w:fill="auto"/>
          </w:tcPr>
          <w:p w14:paraId="471386A7" w14:textId="77777777" w:rsidR="00C77C33" w:rsidRPr="00A93608" w:rsidRDefault="00C77C33" w:rsidP="0063570E">
            <w:pPr>
              <w:spacing w:before="120" w:after="120"/>
              <w:jc w:val="both"/>
              <w:rPr>
                <w:rFonts w:ascii="Times New Roman" w:hAnsi="Times New Roman" w:cs="Times New Roman"/>
                <w:bCs/>
                <w:color w:val="auto"/>
                <w:sz w:val="26"/>
                <w:szCs w:val="26"/>
              </w:rPr>
            </w:pPr>
            <w:r w:rsidRPr="00A93608">
              <w:rPr>
                <w:rFonts w:ascii="Times New Roman" w:hAnsi="Times New Roman" w:cs="Times New Roman"/>
                <w:bCs/>
                <w:color w:val="auto"/>
                <w:sz w:val="26"/>
                <w:szCs w:val="26"/>
              </w:rPr>
              <w:t>- Luật khoa học và công nghệ ngày 18 tháng 6 năm 2013.</w:t>
            </w:r>
          </w:p>
          <w:p w14:paraId="2AAA411E" w14:textId="77777777" w:rsidR="00C77C33" w:rsidRPr="00A93608" w:rsidRDefault="00C77C33" w:rsidP="0063570E">
            <w:pPr>
              <w:spacing w:before="120" w:after="120"/>
              <w:jc w:val="both"/>
              <w:rPr>
                <w:rFonts w:ascii="Times New Roman" w:hAnsi="Times New Roman" w:cs="Times New Roman"/>
                <w:bCs/>
                <w:color w:val="auto"/>
                <w:sz w:val="26"/>
                <w:szCs w:val="26"/>
              </w:rPr>
            </w:pPr>
            <w:r w:rsidRPr="00A93608">
              <w:rPr>
                <w:rFonts w:ascii="Times New Roman" w:hAnsi="Times New Roman" w:cs="Times New Roman"/>
                <w:bCs/>
                <w:color w:val="auto"/>
                <w:sz w:val="26"/>
                <w:szCs w:val="26"/>
              </w:rPr>
              <w:t>- Nghị định số 08/2014/NĐ-CP ngày 27 tháng 01 năm 2014 của Chính phủ quy định chi tiết và hướng dẫn thi hành một số điều của Luật khoa học và công nghệ.</w:t>
            </w:r>
          </w:p>
          <w:p w14:paraId="10CF63CC" w14:textId="77777777" w:rsidR="001E36DE" w:rsidRPr="00A93608" w:rsidRDefault="00C77C33" w:rsidP="0063570E">
            <w:pPr>
              <w:spacing w:before="120" w:after="120"/>
              <w:jc w:val="both"/>
              <w:rPr>
                <w:rFonts w:ascii="Times New Roman" w:hAnsi="Times New Roman" w:cs="Times New Roman"/>
                <w:bCs/>
                <w:color w:val="auto"/>
                <w:sz w:val="26"/>
                <w:szCs w:val="26"/>
              </w:rPr>
            </w:pPr>
            <w:r w:rsidRPr="00A93608">
              <w:rPr>
                <w:rFonts w:ascii="Times New Roman" w:hAnsi="Times New Roman" w:cs="Times New Roman"/>
                <w:bCs/>
                <w:color w:val="auto"/>
                <w:sz w:val="26"/>
                <w:szCs w:val="26"/>
              </w:rPr>
              <w:t>- Thông tư số 09/2024/TT-BKHCN ngày 27 tháng 12 năm 2024 của Bộ trưởng Bộ Khoa học và Công nghệ quy định quản lý nhiệm vụ khoa học và công nghệ cấp tỉnh, cấp cơ sở sử dụng ngân sách nhà nước.</w:t>
            </w:r>
          </w:p>
          <w:p w14:paraId="7340551D" w14:textId="736D770B" w:rsidR="00C77C33" w:rsidRPr="00A93608" w:rsidRDefault="00C77C33" w:rsidP="0063570E">
            <w:pPr>
              <w:spacing w:before="120" w:after="120"/>
              <w:jc w:val="both"/>
              <w:rPr>
                <w:rFonts w:ascii="Times New Roman" w:hAnsi="Times New Roman" w:cs="Times New Roman"/>
                <w:bCs/>
                <w:color w:val="auto"/>
                <w:sz w:val="26"/>
                <w:szCs w:val="26"/>
              </w:rPr>
            </w:pPr>
            <w:r w:rsidRPr="00A93608">
              <w:rPr>
                <w:rFonts w:ascii="Times New Roman" w:hAnsi="Times New Roman" w:cs="Times New Roman"/>
                <w:bCs/>
                <w:color w:val="auto"/>
                <w:sz w:val="26"/>
                <w:szCs w:val="26"/>
              </w:rPr>
              <w:lastRenderedPageBreak/>
              <w:t>- Quyết định số 45/QĐ-BKHCN ngày 15 tháng 01 năm 2025 của Bộ trưởng Bộ Khoa học và Công nghệ về việc công bố thủ tục hành chính mới ban hành trong lĩnh vực hoạt động khoa học và công nghệ thuộc phạm vi chức năng quản lý của Bộ Khoa học và Công nghệ.</w:t>
            </w:r>
          </w:p>
        </w:tc>
        <w:tc>
          <w:tcPr>
            <w:tcW w:w="1793" w:type="pct"/>
            <w:shd w:val="clear" w:color="auto" w:fill="auto"/>
          </w:tcPr>
          <w:p w14:paraId="4AF91AAA" w14:textId="77777777" w:rsidR="00C77C33" w:rsidRPr="00A93608" w:rsidRDefault="00C77C33" w:rsidP="0063570E">
            <w:pPr>
              <w:spacing w:before="120" w:after="120"/>
              <w:ind w:left="-25"/>
              <w:jc w:val="both"/>
              <w:rPr>
                <w:rFonts w:ascii="Times New Roman" w:hAnsi="Times New Roman" w:cs="Times New Roman"/>
                <w:b/>
                <w:color w:val="auto"/>
                <w:sz w:val="26"/>
                <w:szCs w:val="26"/>
              </w:rPr>
            </w:pPr>
            <w:r w:rsidRPr="00A93608">
              <w:rPr>
                <w:rFonts w:ascii="Times New Roman" w:hAnsi="Times New Roman" w:cs="Times New Roman"/>
                <w:b/>
                <w:color w:val="auto"/>
                <w:sz w:val="26"/>
                <w:szCs w:val="26"/>
              </w:rPr>
              <w:lastRenderedPageBreak/>
              <w:t>1. Trình tự thực hiện TTHC:</w:t>
            </w:r>
          </w:p>
          <w:p w14:paraId="5180BF01" w14:textId="77777777" w:rsidR="00C77C33" w:rsidRPr="00A93608" w:rsidRDefault="00C77C33" w:rsidP="0063570E">
            <w:pPr>
              <w:spacing w:before="120" w:after="120"/>
              <w:ind w:left="-25"/>
              <w:jc w:val="both"/>
              <w:rPr>
                <w:rFonts w:ascii="Times New Roman" w:hAnsi="Times New Roman" w:cs="Times New Roman"/>
                <w:bCs/>
                <w:i/>
                <w:color w:val="auto"/>
                <w:sz w:val="26"/>
                <w:szCs w:val="26"/>
              </w:rPr>
            </w:pPr>
            <w:r w:rsidRPr="00A93608">
              <w:rPr>
                <w:rFonts w:ascii="Times New Roman" w:hAnsi="Times New Roman" w:cs="Times New Roman"/>
                <w:bCs/>
                <w:i/>
                <w:color w:val="auto"/>
                <w:sz w:val="26"/>
                <w:szCs w:val="26"/>
              </w:rPr>
              <w:t>Bước 1: Gửi hồ sơ đề xuất nhiệm vụ</w:t>
            </w:r>
          </w:p>
          <w:p w14:paraId="532C5BA2" w14:textId="52D4AC5A" w:rsidR="00C77C33" w:rsidRPr="00A93608" w:rsidRDefault="00C77C33" w:rsidP="0063570E">
            <w:pPr>
              <w:spacing w:before="120" w:after="120"/>
              <w:ind w:left="-25"/>
              <w:jc w:val="both"/>
              <w:rPr>
                <w:rFonts w:ascii="Times New Roman" w:hAnsi="Times New Roman" w:cs="Times New Roman"/>
                <w:bCs/>
                <w:color w:val="auto"/>
                <w:sz w:val="26"/>
                <w:szCs w:val="26"/>
              </w:rPr>
            </w:pPr>
            <w:r w:rsidRPr="00A93608">
              <w:rPr>
                <w:rFonts w:ascii="Times New Roman" w:hAnsi="Times New Roman" w:cs="Times New Roman"/>
                <w:bCs/>
                <w:color w:val="auto"/>
                <w:sz w:val="26"/>
                <w:szCs w:val="26"/>
              </w:rPr>
              <w:t xml:space="preserve">Cơ quan, tổ chức, cá nhân gửi đề xuất nhiệm vụ tới </w:t>
            </w:r>
            <w:r w:rsidR="00EC4F34" w:rsidRPr="00A93608">
              <w:rPr>
                <w:rFonts w:ascii="Times New Roman" w:hAnsi="Times New Roman" w:cs="Times New Roman"/>
                <w:color w:val="auto"/>
                <w:sz w:val="26"/>
                <w:szCs w:val="26"/>
              </w:rPr>
              <w:t>UBND cấp tỉnh hoặc cơ quan, đơn vị được UBND cấp tỉnh phân cấp/ủy quyền</w:t>
            </w:r>
            <w:r w:rsidRPr="00A93608">
              <w:rPr>
                <w:rFonts w:ascii="Times New Roman" w:hAnsi="Times New Roman" w:cs="Times New Roman"/>
                <w:bCs/>
                <w:color w:val="auto"/>
                <w:sz w:val="26"/>
                <w:szCs w:val="26"/>
              </w:rPr>
              <w:t>.</w:t>
            </w:r>
          </w:p>
          <w:p w14:paraId="67C4409F" w14:textId="77777777" w:rsidR="00C77C33" w:rsidRPr="00A93608" w:rsidRDefault="00C77C33" w:rsidP="0063570E">
            <w:pPr>
              <w:spacing w:before="120" w:after="120"/>
              <w:ind w:left="-25"/>
              <w:jc w:val="both"/>
              <w:rPr>
                <w:rFonts w:ascii="Times New Roman" w:hAnsi="Times New Roman" w:cs="Times New Roman"/>
                <w:bCs/>
                <w:i/>
                <w:color w:val="auto"/>
                <w:sz w:val="26"/>
                <w:szCs w:val="26"/>
              </w:rPr>
            </w:pPr>
            <w:r w:rsidRPr="00A93608">
              <w:rPr>
                <w:rFonts w:ascii="Times New Roman" w:hAnsi="Times New Roman" w:cs="Times New Roman"/>
                <w:bCs/>
                <w:i/>
                <w:color w:val="auto"/>
                <w:sz w:val="26"/>
                <w:szCs w:val="26"/>
              </w:rPr>
              <w:t>Bước 2: Tổng hợp danh mục đề xuất nhiệm vụ</w:t>
            </w:r>
          </w:p>
          <w:p w14:paraId="6EF00DBE" w14:textId="6F143D5B" w:rsidR="00C77C33" w:rsidRPr="00A93608" w:rsidRDefault="0007139B" w:rsidP="0063570E">
            <w:pPr>
              <w:spacing w:before="120" w:after="120"/>
              <w:ind w:left="-25"/>
              <w:jc w:val="both"/>
              <w:rPr>
                <w:rFonts w:ascii="Times New Roman" w:hAnsi="Times New Roman" w:cs="Times New Roman"/>
                <w:bCs/>
                <w:color w:val="auto"/>
                <w:sz w:val="26"/>
                <w:szCs w:val="26"/>
              </w:rPr>
            </w:pPr>
            <w:r w:rsidRPr="00A93608">
              <w:rPr>
                <w:rFonts w:ascii="Times New Roman" w:hAnsi="Times New Roman" w:cs="Times New Roman"/>
                <w:color w:val="auto"/>
                <w:sz w:val="26"/>
                <w:szCs w:val="26"/>
              </w:rPr>
              <w:t>UBND cấp tỉnh hoặc cơ quan, đơn vị được UBND cấp tỉnh phân cấp/ủy quyền</w:t>
            </w:r>
            <w:r w:rsidR="00C77C33" w:rsidRPr="00A93608">
              <w:rPr>
                <w:rFonts w:ascii="Times New Roman" w:hAnsi="Times New Roman" w:cs="Times New Roman"/>
                <w:bCs/>
                <w:color w:val="auto"/>
                <w:sz w:val="26"/>
                <w:szCs w:val="26"/>
              </w:rPr>
              <w:t xml:space="preserve"> rà soát, tổng hợp các đề xuất nhiệm vụ (biểu mẫu kèm theo - Mẫu I.04-THĐX); thực hiện tra cứu thông tin các nhiệm vụ khoa học và công nghệ đã và đang thực hiện trên địa bàn</w:t>
            </w:r>
            <w:r w:rsidR="00085EC0" w:rsidRPr="00A93608">
              <w:rPr>
                <w:rFonts w:ascii="Times New Roman" w:hAnsi="Times New Roman" w:cs="Times New Roman"/>
                <w:bCs/>
                <w:color w:val="auto"/>
                <w:sz w:val="26"/>
                <w:szCs w:val="26"/>
              </w:rPr>
              <w:t xml:space="preserve"> tỉnh Phú Yên </w:t>
            </w:r>
            <w:r w:rsidR="00C77C33" w:rsidRPr="00A93608">
              <w:rPr>
                <w:rFonts w:ascii="Times New Roman" w:hAnsi="Times New Roman" w:cs="Times New Roman"/>
                <w:bCs/>
                <w:color w:val="auto"/>
                <w:sz w:val="26"/>
                <w:szCs w:val="26"/>
              </w:rPr>
              <w:t>có liên quan đến nhiệm vụ được đề xuất (biểu mẫu kèm theo - Mẫu I.05-KQ.TCTT).</w:t>
            </w:r>
          </w:p>
          <w:p w14:paraId="0A4C2724" w14:textId="77777777" w:rsidR="00C77C33" w:rsidRPr="00A93608" w:rsidRDefault="00C77C33" w:rsidP="0063570E">
            <w:pPr>
              <w:spacing w:before="120" w:after="120"/>
              <w:ind w:left="-25"/>
              <w:jc w:val="both"/>
              <w:rPr>
                <w:rFonts w:ascii="Times New Roman" w:hAnsi="Times New Roman" w:cs="Times New Roman"/>
                <w:bCs/>
                <w:i/>
                <w:color w:val="auto"/>
                <w:sz w:val="26"/>
                <w:szCs w:val="26"/>
              </w:rPr>
            </w:pPr>
            <w:r w:rsidRPr="00A93608">
              <w:rPr>
                <w:rFonts w:ascii="Times New Roman" w:hAnsi="Times New Roman" w:cs="Times New Roman"/>
                <w:bCs/>
                <w:i/>
                <w:color w:val="auto"/>
                <w:sz w:val="26"/>
                <w:szCs w:val="26"/>
              </w:rPr>
              <w:t>Bước 3: Thành lập Hội đồng tư vấn xác định nhiệm vụ</w:t>
            </w:r>
          </w:p>
          <w:p w14:paraId="26863FF6" w14:textId="63AF2366" w:rsidR="00C77C33" w:rsidRPr="00A93608" w:rsidRDefault="005A5C00" w:rsidP="0063570E">
            <w:pPr>
              <w:spacing w:before="120" w:after="120"/>
              <w:ind w:left="-25"/>
              <w:jc w:val="both"/>
              <w:rPr>
                <w:rFonts w:ascii="Times New Roman" w:hAnsi="Times New Roman" w:cs="Times New Roman"/>
                <w:bCs/>
                <w:color w:val="auto"/>
                <w:sz w:val="26"/>
                <w:szCs w:val="26"/>
              </w:rPr>
            </w:pPr>
            <w:r w:rsidRPr="00A93608">
              <w:rPr>
                <w:rFonts w:ascii="Times New Roman" w:hAnsi="Times New Roman" w:cs="Times New Roman"/>
                <w:color w:val="auto"/>
                <w:sz w:val="26"/>
                <w:szCs w:val="26"/>
                <w:lang w:val="vi-VN"/>
              </w:rPr>
              <w:t xml:space="preserve">Chủ tịch UBND cấp tỉnh </w:t>
            </w:r>
            <w:r w:rsidRPr="00A93608">
              <w:rPr>
                <w:rFonts w:ascii="Times New Roman" w:hAnsi="Times New Roman" w:cs="Times New Roman"/>
                <w:iCs/>
                <w:color w:val="auto"/>
                <w:sz w:val="26"/>
                <w:szCs w:val="26"/>
                <w:lang w:val="da-DK"/>
              </w:rPr>
              <w:t xml:space="preserve">hoặc người được </w:t>
            </w:r>
            <w:r w:rsidRPr="00A93608">
              <w:rPr>
                <w:rFonts w:ascii="Times New Roman" w:hAnsi="Times New Roman" w:cs="Times New Roman"/>
                <w:color w:val="auto"/>
                <w:sz w:val="26"/>
                <w:szCs w:val="26"/>
                <w:lang w:val="vi-VN"/>
              </w:rPr>
              <w:t>Chủ tịch</w:t>
            </w:r>
            <w:r w:rsidRPr="00A93608">
              <w:rPr>
                <w:rFonts w:ascii="Times New Roman" w:hAnsi="Times New Roman" w:cs="Times New Roman"/>
                <w:iCs/>
                <w:color w:val="auto"/>
                <w:sz w:val="26"/>
                <w:szCs w:val="26"/>
                <w:lang w:val="da-DK"/>
              </w:rPr>
              <w:t xml:space="preserve"> </w:t>
            </w:r>
            <w:r w:rsidRPr="00A93608">
              <w:rPr>
                <w:rFonts w:ascii="Times New Roman" w:hAnsi="Times New Roman" w:cs="Times New Roman"/>
                <w:iCs/>
                <w:color w:val="auto"/>
                <w:sz w:val="26"/>
                <w:szCs w:val="26"/>
                <w:lang w:val="vi-VN"/>
              </w:rPr>
              <w:lastRenderedPageBreak/>
              <w:t>UBND</w:t>
            </w:r>
            <w:r w:rsidRPr="00A93608">
              <w:rPr>
                <w:rFonts w:ascii="Times New Roman" w:hAnsi="Times New Roman" w:cs="Times New Roman"/>
                <w:iCs/>
                <w:color w:val="auto"/>
                <w:sz w:val="26"/>
                <w:szCs w:val="26"/>
                <w:lang w:val="da-DK"/>
              </w:rPr>
              <w:t xml:space="preserve"> cấp tỉnh phân cấp/ủy quyền</w:t>
            </w:r>
            <w:r w:rsidRPr="00A93608">
              <w:rPr>
                <w:rFonts w:ascii="Times New Roman" w:hAnsi="Times New Roman" w:cs="Times New Roman"/>
                <w:iCs/>
                <w:color w:val="auto"/>
                <w:sz w:val="26"/>
                <w:szCs w:val="26"/>
                <w:lang w:val="vi-VN"/>
              </w:rPr>
              <w:t xml:space="preserve"> </w:t>
            </w:r>
            <w:r w:rsidR="00C77C33" w:rsidRPr="00A93608">
              <w:rPr>
                <w:rFonts w:ascii="Times New Roman" w:hAnsi="Times New Roman" w:cs="Times New Roman"/>
                <w:bCs/>
                <w:color w:val="auto"/>
                <w:sz w:val="26"/>
                <w:szCs w:val="26"/>
              </w:rPr>
              <w:t>quyết định thành lập, quy định số lượng thành viên, chức năng, nhiệm vụ của Hội đồng tư vấn xác định nhiệm vụ khoa học và công nghệ cấp tỉnh (sau đây viết tắt là Hội đồng xác định nhiệm vụ) xem xét, đánh giá các đề xuất để đặt hàng.</w:t>
            </w:r>
          </w:p>
          <w:p w14:paraId="07507678" w14:textId="77777777" w:rsidR="00C77C33" w:rsidRPr="00A93608" w:rsidRDefault="00C77C33" w:rsidP="0063570E">
            <w:pPr>
              <w:spacing w:before="120" w:after="120"/>
              <w:ind w:left="-25"/>
              <w:jc w:val="both"/>
              <w:rPr>
                <w:rFonts w:ascii="Times New Roman" w:hAnsi="Times New Roman" w:cs="Times New Roman"/>
                <w:bCs/>
                <w:i/>
                <w:color w:val="auto"/>
                <w:sz w:val="26"/>
                <w:szCs w:val="26"/>
              </w:rPr>
            </w:pPr>
            <w:r w:rsidRPr="00A93608">
              <w:rPr>
                <w:rFonts w:ascii="Times New Roman" w:hAnsi="Times New Roman" w:cs="Times New Roman"/>
                <w:bCs/>
                <w:i/>
                <w:color w:val="auto"/>
                <w:sz w:val="26"/>
                <w:szCs w:val="26"/>
              </w:rPr>
              <w:t>Bước 4: Tổ chức họp Hội đồng tư vấn xác định nhiệm vụ</w:t>
            </w:r>
          </w:p>
          <w:p w14:paraId="34DD929D" w14:textId="480B0435" w:rsidR="00C77C33" w:rsidRPr="00A93608" w:rsidRDefault="001017A7" w:rsidP="0063570E">
            <w:pPr>
              <w:spacing w:before="120" w:after="120"/>
              <w:ind w:left="-25"/>
              <w:jc w:val="both"/>
              <w:rPr>
                <w:rFonts w:ascii="Times New Roman" w:hAnsi="Times New Roman" w:cs="Times New Roman"/>
                <w:bCs/>
                <w:color w:val="auto"/>
                <w:sz w:val="26"/>
                <w:szCs w:val="26"/>
              </w:rPr>
            </w:pPr>
            <w:r w:rsidRPr="00A93608">
              <w:rPr>
                <w:rFonts w:ascii="Times New Roman" w:hAnsi="Times New Roman" w:cs="Times New Roman"/>
                <w:color w:val="auto"/>
                <w:sz w:val="26"/>
                <w:szCs w:val="26"/>
              </w:rPr>
              <w:t>UBND cấp tỉnh hoặc cơ quan, đơn vị được UBND cấp tỉnh phân cấp/ủy quyền</w:t>
            </w:r>
            <w:r w:rsidR="00C77C33" w:rsidRPr="00A93608">
              <w:rPr>
                <w:rFonts w:ascii="Times New Roman" w:hAnsi="Times New Roman" w:cs="Times New Roman"/>
                <w:bCs/>
                <w:color w:val="auto"/>
                <w:sz w:val="26"/>
                <w:szCs w:val="26"/>
              </w:rPr>
              <w:t xml:space="preserve"> tổ chức họp Hội đồng tư vấn xác định nhiệm vụ khoa học và công nghệ cấp tỉnh.</w:t>
            </w:r>
          </w:p>
          <w:p w14:paraId="334E73A4" w14:textId="77777777" w:rsidR="00C77C33" w:rsidRPr="00A93608" w:rsidRDefault="00C77C33" w:rsidP="0063570E">
            <w:pPr>
              <w:spacing w:before="120" w:after="120"/>
              <w:ind w:left="-25"/>
              <w:jc w:val="both"/>
              <w:rPr>
                <w:rFonts w:ascii="Times New Roman" w:hAnsi="Times New Roman" w:cs="Times New Roman"/>
                <w:bCs/>
                <w:i/>
                <w:color w:val="auto"/>
                <w:sz w:val="26"/>
                <w:szCs w:val="26"/>
              </w:rPr>
            </w:pPr>
            <w:r w:rsidRPr="00A93608">
              <w:rPr>
                <w:rFonts w:ascii="Times New Roman" w:hAnsi="Times New Roman" w:cs="Times New Roman"/>
                <w:bCs/>
                <w:i/>
                <w:color w:val="auto"/>
                <w:sz w:val="26"/>
                <w:szCs w:val="26"/>
              </w:rPr>
              <w:t>Bước 5: Trình hồ sơ phê duyệt danh mục nhiệm vụ đề xuất đặt hàng</w:t>
            </w:r>
          </w:p>
          <w:p w14:paraId="63B735EA" w14:textId="406FBC67" w:rsidR="00C77C33" w:rsidRPr="00A93608" w:rsidRDefault="00C77C33" w:rsidP="0063570E">
            <w:pPr>
              <w:spacing w:before="120" w:after="120"/>
              <w:ind w:left="-25"/>
              <w:jc w:val="both"/>
              <w:rPr>
                <w:rFonts w:ascii="Times New Roman" w:hAnsi="Times New Roman" w:cs="Times New Roman"/>
                <w:bCs/>
                <w:color w:val="auto"/>
                <w:sz w:val="26"/>
                <w:szCs w:val="26"/>
              </w:rPr>
            </w:pPr>
            <w:r w:rsidRPr="00A93608">
              <w:rPr>
                <w:rFonts w:ascii="Times New Roman" w:hAnsi="Times New Roman" w:cs="Times New Roman"/>
                <w:bCs/>
                <w:color w:val="auto"/>
                <w:sz w:val="26"/>
                <w:szCs w:val="26"/>
              </w:rPr>
              <w:t xml:space="preserve">Sau khi có kết quả tư vấn của Hội đồng xác định nhiệm vụ, </w:t>
            </w:r>
            <w:r w:rsidR="00783BDC" w:rsidRPr="00A93608">
              <w:rPr>
                <w:rFonts w:ascii="Times New Roman" w:hAnsi="Times New Roman" w:cs="Times New Roman"/>
                <w:color w:val="auto"/>
                <w:sz w:val="26"/>
                <w:szCs w:val="26"/>
              </w:rPr>
              <w:t>UBND cấp tỉnh hoặc cơ quan, đơn vị được UBND cấp tỉnh phân cấp/ủy quyền</w:t>
            </w:r>
            <w:r w:rsidRPr="00A93608">
              <w:rPr>
                <w:rFonts w:ascii="Times New Roman" w:hAnsi="Times New Roman" w:cs="Times New Roman"/>
                <w:bCs/>
                <w:color w:val="auto"/>
                <w:sz w:val="26"/>
                <w:szCs w:val="26"/>
              </w:rPr>
              <w:t xml:space="preserve"> ký Quyết định phê duyệt danh mục nhiệm vụ (</w:t>
            </w:r>
            <w:r w:rsidRPr="00A93608">
              <w:rPr>
                <w:rFonts w:ascii="Times New Roman" w:eastAsia="Calibri" w:hAnsi="Times New Roman" w:cs="Times New Roman"/>
                <w:noProof w:val="0"/>
                <w:color w:val="auto"/>
                <w:spacing w:val="-4"/>
                <w:sz w:val="26"/>
                <w:szCs w:val="26"/>
                <w:lang w:eastAsia="en-US"/>
              </w:rPr>
              <w:t>theo Mẫu II.09-QĐ.DMĐH</w:t>
            </w:r>
            <w:r w:rsidRPr="00A93608">
              <w:rPr>
                <w:rFonts w:ascii="Times New Roman" w:hAnsi="Times New Roman" w:cs="Times New Roman"/>
                <w:bCs/>
                <w:color w:val="auto"/>
                <w:sz w:val="26"/>
                <w:szCs w:val="26"/>
              </w:rPr>
              <w:t>). Trong trường hợp cần thiết có thể xin ý kiến chuyên gia tư vấn độc lập trước khi phê duyệt.</w:t>
            </w:r>
          </w:p>
          <w:p w14:paraId="069C3BF6" w14:textId="5DD0108F" w:rsidR="00C77C33" w:rsidRPr="00A93608" w:rsidRDefault="00C77C33" w:rsidP="0063570E">
            <w:pPr>
              <w:spacing w:before="120" w:after="120"/>
              <w:ind w:left="-25"/>
              <w:jc w:val="both"/>
              <w:rPr>
                <w:rFonts w:ascii="Times New Roman" w:hAnsi="Times New Roman" w:cs="Times New Roman"/>
                <w:bCs/>
                <w:i/>
                <w:color w:val="auto"/>
                <w:sz w:val="26"/>
                <w:szCs w:val="26"/>
              </w:rPr>
            </w:pPr>
            <w:r w:rsidRPr="00A93608">
              <w:rPr>
                <w:rFonts w:ascii="Times New Roman" w:hAnsi="Times New Roman" w:cs="Times New Roman"/>
                <w:bCs/>
                <w:i/>
                <w:color w:val="auto"/>
                <w:sz w:val="26"/>
                <w:szCs w:val="26"/>
              </w:rPr>
              <w:t>Bước 6: Thông báo danh mục nhiệm vụ KH&amp;CN cấp tỉnh để tuyển chọn</w:t>
            </w:r>
            <w:r w:rsidR="00A74543" w:rsidRPr="00A93608">
              <w:rPr>
                <w:rFonts w:ascii="Times New Roman" w:hAnsi="Times New Roman" w:cs="Times New Roman"/>
                <w:bCs/>
                <w:i/>
                <w:color w:val="auto"/>
                <w:sz w:val="26"/>
                <w:szCs w:val="26"/>
              </w:rPr>
              <w:t>.</w:t>
            </w:r>
          </w:p>
          <w:p w14:paraId="6C866599" w14:textId="0E285694" w:rsidR="00C77C33" w:rsidRPr="00A93608" w:rsidRDefault="00D215C6" w:rsidP="0063570E">
            <w:pPr>
              <w:spacing w:before="120" w:after="120"/>
              <w:ind w:left="-25"/>
              <w:jc w:val="both"/>
              <w:rPr>
                <w:rFonts w:ascii="Times New Roman" w:hAnsi="Times New Roman" w:cs="Times New Roman"/>
                <w:bCs/>
                <w:color w:val="auto"/>
                <w:sz w:val="26"/>
                <w:szCs w:val="26"/>
              </w:rPr>
            </w:pPr>
            <w:r w:rsidRPr="00A93608">
              <w:rPr>
                <w:rFonts w:ascii="Times New Roman" w:hAnsi="Times New Roman" w:cs="Times New Roman"/>
                <w:color w:val="auto"/>
                <w:sz w:val="26"/>
                <w:szCs w:val="26"/>
              </w:rPr>
              <w:t>UBND cấp tỉnh hoặc cơ quan, đơn vị được UBND cấp tỉnh phân cấp/ủy quyền</w:t>
            </w:r>
            <w:r w:rsidRPr="00A93608">
              <w:rPr>
                <w:rFonts w:ascii="Times New Roman" w:hAnsi="Times New Roman" w:cs="Times New Roman"/>
                <w:bCs/>
                <w:color w:val="auto"/>
                <w:sz w:val="26"/>
                <w:szCs w:val="26"/>
              </w:rPr>
              <w:t xml:space="preserve"> </w:t>
            </w:r>
            <w:r w:rsidR="00C77C33" w:rsidRPr="00A93608">
              <w:rPr>
                <w:rFonts w:ascii="Times New Roman" w:hAnsi="Times New Roman" w:cs="Times New Roman"/>
                <w:bCs/>
                <w:color w:val="auto"/>
                <w:sz w:val="26"/>
                <w:szCs w:val="26"/>
              </w:rPr>
              <w:t xml:space="preserve">thông báo công khai danh mục nhiệm vụ khoa học và công nghệ đặt </w:t>
            </w:r>
            <w:r w:rsidR="00C77C33" w:rsidRPr="00A93608">
              <w:rPr>
                <w:rFonts w:ascii="Times New Roman" w:hAnsi="Times New Roman" w:cs="Times New Roman"/>
                <w:bCs/>
                <w:color w:val="auto"/>
                <w:sz w:val="26"/>
                <w:szCs w:val="26"/>
              </w:rPr>
              <w:lastRenderedPageBreak/>
              <w:t>hàng để tuyển chọn tổ chức, cá nhân có đủ năng lực triển khai thực hiện.</w:t>
            </w:r>
          </w:p>
          <w:p w14:paraId="0C0120B4" w14:textId="052CB23C" w:rsidR="007B5D0B" w:rsidRPr="00A93608" w:rsidRDefault="00C77C33" w:rsidP="0063570E">
            <w:pPr>
              <w:spacing w:before="120" w:after="120"/>
              <w:ind w:left="-25"/>
              <w:jc w:val="both"/>
              <w:rPr>
                <w:rFonts w:ascii="Times New Roman" w:hAnsi="Times New Roman" w:cs="Times New Roman"/>
                <w:b/>
                <w:color w:val="auto"/>
                <w:sz w:val="26"/>
                <w:szCs w:val="26"/>
              </w:rPr>
            </w:pPr>
            <w:r w:rsidRPr="00A93608">
              <w:rPr>
                <w:rFonts w:ascii="Times New Roman" w:hAnsi="Times New Roman" w:cs="Times New Roman"/>
                <w:b/>
                <w:color w:val="auto"/>
                <w:sz w:val="26"/>
                <w:szCs w:val="26"/>
                <w:lang w:val="vi-VN"/>
              </w:rPr>
              <w:t>2</w:t>
            </w:r>
            <w:r w:rsidRPr="00A93608">
              <w:rPr>
                <w:rFonts w:ascii="Times New Roman" w:hAnsi="Times New Roman" w:cs="Times New Roman"/>
                <w:b/>
                <w:color w:val="auto"/>
                <w:sz w:val="26"/>
                <w:szCs w:val="26"/>
              </w:rPr>
              <w:t xml:space="preserve">. </w:t>
            </w:r>
            <w:r w:rsidR="007B5D0B" w:rsidRPr="00A93608">
              <w:rPr>
                <w:rFonts w:ascii="Times New Roman" w:hAnsi="Times New Roman" w:cs="Times New Roman"/>
                <w:b/>
                <w:color w:val="auto"/>
                <w:sz w:val="26"/>
                <w:szCs w:val="26"/>
              </w:rPr>
              <w:t xml:space="preserve">Cơ quan thực hiện TTHC: </w:t>
            </w:r>
            <w:r w:rsidR="00452D45" w:rsidRPr="00A93608">
              <w:rPr>
                <w:rFonts w:ascii="Times New Roman" w:hAnsi="Times New Roman" w:cs="Times New Roman"/>
                <w:color w:val="auto"/>
                <w:sz w:val="26"/>
                <w:szCs w:val="26"/>
              </w:rPr>
              <w:t>UBND cấp tỉnh hoặc cơ quan, đơn vị được UBND cấp tỉnh phân cấp/ủy quyền</w:t>
            </w:r>
          </w:p>
          <w:p w14:paraId="060E32A0" w14:textId="37C30085" w:rsidR="00C77C33" w:rsidRPr="00A93608" w:rsidRDefault="007B5D0B" w:rsidP="0063570E">
            <w:pPr>
              <w:spacing w:before="120" w:after="120"/>
              <w:ind w:left="-25"/>
              <w:jc w:val="both"/>
              <w:rPr>
                <w:rFonts w:ascii="Times New Roman" w:hAnsi="Times New Roman" w:cs="Times New Roman"/>
                <w:bCs/>
                <w:color w:val="auto"/>
                <w:sz w:val="26"/>
                <w:szCs w:val="26"/>
              </w:rPr>
            </w:pPr>
            <w:r w:rsidRPr="00A93608">
              <w:rPr>
                <w:rFonts w:ascii="Times New Roman" w:hAnsi="Times New Roman" w:cs="Times New Roman"/>
                <w:b/>
                <w:color w:val="auto"/>
                <w:sz w:val="26"/>
                <w:szCs w:val="26"/>
              </w:rPr>
              <w:t xml:space="preserve">3. </w:t>
            </w:r>
            <w:r w:rsidR="00C77C33" w:rsidRPr="00A93608">
              <w:rPr>
                <w:rFonts w:ascii="Times New Roman" w:hAnsi="Times New Roman" w:cs="Times New Roman"/>
                <w:b/>
                <w:color w:val="auto"/>
                <w:sz w:val="26"/>
                <w:szCs w:val="26"/>
              </w:rPr>
              <w:t>Kết quả giải quyết TTHC:</w:t>
            </w:r>
            <w:r w:rsidR="00C77C33" w:rsidRPr="00A93608">
              <w:rPr>
                <w:rFonts w:ascii="Times New Roman" w:hAnsi="Times New Roman" w:cs="Times New Roman"/>
                <w:bCs/>
                <w:color w:val="auto"/>
                <w:sz w:val="26"/>
                <w:szCs w:val="26"/>
              </w:rPr>
              <w:t xml:space="preserve"> </w:t>
            </w:r>
            <w:r w:rsidR="005B3A0F" w:rsidRPr="00A93608">
              <w:rPr>
                <w:rFonts w:ascii="Times New Roman" w:hAnsi="Times New Roman" w:cs="Times New Roman"/>
                <w:color w:val="auto"/>
                <w:sz w:val="26"/>
                <w:szCs w:val="26"/>
              </w:rPr>
              <w:t>Quyết định phê duyệt danh mục nhiệm vụ khoa học và công nghệ cấp tỉnh</w:t>
            </w:r>
            <w:r w:rsidR="00C77C33" w:rsidRPr="00A93608">
              <w:rPr>
                <w:rFonts w:ascii="Times New Roman" w:hAnsi="Times New Roman" w:cs="Times New Roman"/>
                <w:bCs/>
                <w:color w:val="auto"/>
                <w:sz w:val="26"/>
                <w:szCs w:val="26"/>
              </w:rPr>
              <w:t>.</w:t>
            </w:r>
          </w:p>
        </w:tc>
      </w:tr>
      <w:tr w:rsidR="00A93608" w:rsidRPr="00A93608" w14:paraId="6D0D1FB3" w14:textId="77777777" w:rsidTr="00C7485A">
        <w:tc>
          <w:tcPr>
            <w:tcW w:w="183" w:type="pct"/>
            <w:shd w:val="clear" w:color="auto" w:fill="auto"/>
          </w:tcPr>
          <w:p w14:paraId="70821FA7" w14:textId="77777777" w:rsidR="00C77C33" w:rsidRPr="00A93608" w:rsidRDefault="00C77C33" w:rsidP="0063570E">
            <w:pPr>
              <w:numPr>
                <w:ilvl w:val="0"/>
                <w:numId w:val="19"/>
              </w:numPr>
              <w:spacing w:before="120" w:after="120"/>
              <w:contextualSpacing/>
              <w:jc w:val="both"/>
              <w:rPr>
                <w:rFonts w:ascii="Times New Roman" w:hAnsi="Times New Roman" w:cs="Times New Roman"/>
                <w:b/>
                <w:color w:val="auto"/>
                <w:sz w:val="26"/>
                <w:szCs w:val="26"/>
              </w:rPr>
            </w:pPr>
          </w:p>
        </w:tc>
        <w:tc>
          <w:tcPr>
            <w:tcW w:w="551" w:type="pct"/>
            <w:shd w:val="clear" w:color="auto" w:fill="FFFFFF"/>
          </w:tcPr>
          <w:p w14:paraId="4B054107" w14:textId="44CBB14E" w:rsidR="00C77C33" w:rsidRPr="00A93608" w:rsidRDefault="00C77C33" w:rsidP="0063570E">
            <w:pPr>
              <w:spacing w:before="120" w:after="120"/>
              <w:contextualSpacing/>
              <w:jc w:val="both"/>
              <w:rPr>
                <w:rFonts w:ascii="Times New Roman" w:hAnsi="Times New Roman" w:cs="Times New Roman"/>
                <w:b/>
                <w:color w:val="auto"/>
                <w:sz w:val="26"/>
                <w:szCs w:val="26"/>
              </w:rPr>
            </w:pPr>
            <w:r w:rsidRPr="00A93608">
              <w:rPr>
                <w:rFonts w:ascii="Times New Roman" w:hAnsi="Times New Roman" w:cs="Times New Roman"/>
                <w:color w:val="auto"/>
                <w:sz w:val="26"/>
                <w:szCs w:val="26"/>
              </w:rPr>
              <w:t>Thủ tục đăng ký tham gia tuyển chọn nhiệm vụ khoa học và công nghệ cấp tỉnh sử dụng ngân sách nhà nước</w:t>
            </w:r>
          </w:p>
        </w:tc>
        <w:tc>
          <w:tcPr>
            <w:tcW w:w="642" w:type="pct"/>
            <w:shd w:val="clear" w:color="auto" w:fill="FFFFFF"/>
          </w:tcPr>
          <w:p w14:paraId="555DD959" w14:textId="116DBB6A" w:rsidR="00C77C33" w:rsidRPr="00A93608" w:rsidRDefault="00C77C33" w:rsidP="0063570E">
            <w:pPr>
              <w:pStyle w:val="ListParagraph"/>
              <w:spacing w:before="120" w:after="120"/>
              <w:ind w:left="0"/>
              <w:jc w:val="both"/>
              <w:rPr>
                <w:sz w:val="26"/>
                <w:szCs w:val="26"/>
                <w:lang w:bidi="vi-VN"/>
              </w:rPr>
            </w:pPr>
            <w:r w:rsidRPr="00A93608">
              <w:rPr>
                <w:sz w:val="26"/>
                <w:szCs w:val="26"/>
                <w:lang w:bidi="vi-VN"/>
              </w:rPr>
              <w:t xml:space="preserve">- Kết thúc thời hạn nhận hồ sơ đăng ký tuyển chọn trong thời hạn 10 ngày làm việc, </w:t>
            </w:r>
            <w:r w:rsidR="00466127" w:rsidRPr="00A93608">
              <w:rPr>
                <w:sz w:val="26"/>
                <w:szCs w:val="26"/>
              </w:rPr>
              <w:t>UBND cấp tỉnh hoặc cơ quan, đơn vị được UBND cấp tỉnh phân cấp/ủy quyền</w:t>
            </w:r>
            <w:r w:rsidRPr="00A93608">
              <w:rPr>
                <w:sz w:val="26"/>
                <w:szCs w:val="26"/>
                <w:lang w:bidi="vi-VN"/>
              </w:rPr>
              <w:t xml:space="preserve"> tiến hành mở, kiểm tra và xác nhận tính hợp lệ của hồ sơ đăng ký tuyển chọn.</w:t>
            </w:r>
          </w:p>
          <w:p w14:paraId="0C680746" w14:textId="175A1F35" w:rsidR="00C77C33" w:rsidRPr="00A93608" w:rsidRDefault="00C77C33" w:rsidP="0063570E">
            <w:pPr>
              <w:pStyle w:val="ListParagraph"/>
              <w:spacing w:before="120" w:after="120"/>
              <w:ind w:left="0"/>
              <w:jc w:val="both"/>
              <w:rPr>
                <w:sz w:val="26"/>
                <w:szCs w:val="26"/>
                <w:lang w:bidi="vi-VN"/>
              </w:rPr>
            </w:pPr>
            <w:r w:rsidRPr="00A93608">
              <w:rPr>
                <w:sz w:val="26"/>
                <w:szCs w:val="26"/>
                <w:lang w:bidi="vi-VN"/>
              </w:rPr>
              <w:t xml:space="preserve">- Trong thời hạn 10 ngày kể từ </w:t>
            </w:r>
            <w:r w:rsidRPr="00A93608">
              <w:rPr>
                <w:sz w:val="26"/>
                <w:szCs w:val="26"/>
                <w:lang w:bidi="vi-VN"/>
              </w:rPr>
              <w:lastRenderedPageBreak/>
              <w:t xml:space="preserve">ngày có kết quả họp Hội đồng tuyển chọn, </w:t>
            </w:r>
            <w:r w:rsidR="001E52F5" w:rsidRPr="00A93608">
              <w:rPr>
                <w:sz w:val="26"/>
                <w:szCs w:val="26"/>
              </w:rPr>
              <w:t>UBND cấp tỉnh hoặc cơ quan, đơn vị được UBND cấp tỉnh phân cấp/ủy quyền</w:t>
            </w:r>
            <w:r w:rsidRPr="00A93608">
              <w:rPr>
                <w:sz w:val="26"/>
                <w:szCs w:val="26"/>
                <w:lang w:bidi="vi-VN"/>
              </w:rPr>
              <w:t xml:space="preserve"> xem xét, thông báo kết quả tuyển chọn.</w:t>
            </w:r>
          </w:p>
          <w:p w14:paraId="0DEBB70A" w14:textId="16EA7AAB" w:rsidR="00C77C33" w:rsidRPr="00A93608" w:rsidRDefault="00C77C33" w:rsidP="0063570E">
            <w:pPr>
              <w:pStyle w:val="ListParagraph"/>
              <w:spacing w:before="120" w:after="120"/>
              <w:ind w:left="0"/>
              <w:jc w:val="both"/>
              <w:rPr>
                <w:sz w:val="26"/>
                <w:szCs w:val="26"/>
                <w:lang w:bidi="vi-VN"/>
              </w:rPr>
            </w:pPr>
            <w:r w:rsidRPr="00A93608">
              <w:rPr>
                <w:sz w:val="26"/>
                <w:szCs w:val="26"/>
                <w:lang w:bidi="vi-VN"/>
              </w:rPr>
              <w:t xml:space="preserve">- Trong thời hạn 15 ngày kể từ ngày có thông báo kết quả tuyển chọn, tổ chức chủ trì và chủ nhiệm nhiệm vụ trúng tuyển có trách nhiệm hoàn thiện thuyết minh nhiệm vụ theo kết luận của Hội đồng tuyển chọn, báo cáo tiếp thu, giải trình các ý kiến </w:t>
            </w:r>
            <w:r w:rsidRPr="00A93608">
              <w:rPr>
                <w:sz w:val="26"/>
                <w:szCs w:val="26"/>
                <w:lang w:bidi="vi-VN"/>
              </w:rPr>
              <w:lastRenderedPageBreak/>
              <w:t xml:space="preserve">kết luận của Hội đồng tuyển chọn và nộp tài liệu quy định tại điểm d khoản 1 Điều 15 Thông tư số 09/2024/TT-BKHCN và các tài liệu liên quan khác gửi về </w:t>
            </w:r>
            <w:r w:rsidR="00904835" w:rsidRPr="00A93608">
              <w:rPr>
                <w:sz w:val="26"/>
                <w:szCs w:val="26"/>
              </w:rPr>
              <w:t>UBND cấp tỉnh hoặc cơ quan, đơn vị được UBND cấp tỉnh phân cấp/ủy quyền</w:t>
            </w:r>
            <w:r w:rsidRPr="00A93608">
              <w:rPr>
                <w:sz w:val="26"/>
                <w:szCs w:val="26"/>
                <w:lang w:bidi="vi-VN"/>
              </w:rPr>
              <w:t xml:space="preserve"> để tổ chức thẩm định kinh phí.</w:t>
            </w:r>
          </w:p>
          <w:p w14:paraId="26D9AD5C" w14:textId="7C43EBFD" w:rsidR="00C77C33" w:rsidRPr="00A93608" w:rsidRDefault="00C77C33" w:rsidP="0063570E">
            <w:pPr>
              <w:pStyle w:val="ListParagraph"/>
              <w:spacing w:before="120" w:after="120"/>
              <w:ind w:left="0"/>
              <w:jc w:val="both"/>
              <w:rPr>
                <w:sz w:val="26"/>
                <w:szCs w:val="26"/>
                <w:lang w:bidi="vi-VN"/>
              </w:rPr>
            </w:pPr>
            <w:r w:rsidRPr="00A93608">
              <w:rPr>
                <w:sz w:val="26"/>
                <w:szCs w:val="26"/>
                <w:lang w:bidi="vi-VN"/>
              </w:rPr>
              <w:t xml:space="preserve">- Sau khi nhận được hồ sơ đã hoàn thiện theo kết luận của Tổ thẩm định kinh phí và ý kiến của chuyên gia tư vấn độc lập (nếu có), </w:t>
            </w:r>
            <w:r w:rsidR="00594DD6" w:rsidRPr="00A93608">
              <w:rPr>
                <w:sz w:val="26"/>
                <w:szCs w:val="26"/>
              </w:rPr>
              <w:t xml:space="preserve">UBND cấp </w:t>
            </w:r>
            <w:r w:rsidR="00594DD6" w:rsidRPr="00A93608">
              <w:rPr>
                <w:sz w:val="26"/>
                <w:szCs w:val="26"/>
              </w:rPr>
              <w:lastRenderedPageBreak/>
              <w:t>tỉnh hoặc cơ quan, đơn vị được UBND cấp tỉnh phân cấp/ủy quyền</w:t>
            </w:r>
            <w:r w:rsidRPr="00A93608">
              <w:rPr>
                <w:sz w:val="26"/>
                <w:szCs w:val="26"/>
                <w:lang w:bidi="vi-VN"/>
              </w:rPr>
              <w:t xml:space="preserve"> xem xét, ký Quyết định phê duyệt tổ chức chủ trì, chủ nhiệm nhiệm vụ, kinh phí, phương thức khoán chi và thời gian thực hiện nhiệm vụ.</w:t>
            </w:r>
          </w:p>
          <w:p w14:paraId="239C9105" w14:textId="5D355EC0" w:rsidR="00C77C33" w:rsidRPr="00A93608" w:rsidRDefault="00C77C33" w:rsidP="0063570E">
            <w:pPr>
              <w:pStyle w:val="ListParagraph"/>
              <w:spacing w:before="120" w:after="120"/>
              <w:ind w:left="0"/>
              <w:jc w:val="both"/>
              <w:rPr>
                <w:b/>
                <w:sz w:val="26"/>
                <w:szCs w:val="26"/>
              </w:rPr>
            </w:pPr>
            <w:r w:rsidRPr="00A93608">
              <w:rPr>
                <w:sz w:val="26"/>
                <w:szCs w:val="26"/>
                <w:lang w:bidi="vi-VN"/>
              </w:rPr>
              <w:t xml:space="preserve">- Trong thời hạn 15 ngày kể từ khi có quyết định phê duyệt, </w:t>
            </w:r>
            <w:r w:rsidR="00594DD6" w:rsidRPr="00A93608">
              <w:rPr>
                <w:sz w:val="26"/>
                <w:szCs w:val="26"/>
              </w:rPr>
              <w:t>UBND cấp tỉnh hoặc cơ quan, đơn vị được UBND cấp tỉnh phân cấp/ủy quyền</w:t>
            </w:r>
            <w:r w:rsidR="00594DD6" w:rsidRPr="00A93608">
              <w:rPr>
                <w:sz w:val="26"/>
                <w:szCs w:val="26"/>
                <w:lang w:bidi="vi-VN"/>
              </w:rPr>
              <w:t xml:space="preserve"> </w:t>
            </w:r>
            <w:r w:rsidRPr="00A93608">
              <w:rPr>
                <w:sz w:val="26"/>
                <w:szCs w:val="26"/>
                <w:lang w:bidi="vi-VN"/>
              </w:rPr>
              <w:t xml:space="preserve">có trách nhiệm thông báo công khai kết quả tuyển chọn và đăng tải ít </w:t>
            </w:r>
            <w:r w:rsidRPr="00A93608">
              <w:rPr>
                <w:sz w:val="26"/>
                <w:szCs w:val="26"/>
                <w:lang w:bidi="vi-VN"/>
              </w:rPr>
              <w:lastRenderedPageBreak/>
              <w:t>nhất 45 ngày trên cổng thông tin điện tử của cơ quan, đơn vị mình hoặc phương tiện thông tin đại chúng khác.</w:t>
            </w:r>
          </w:p>
        </w:tc>
        <w:tc>
          <w:tcPr>
            <w:tcW w:w="552" w:type="pct"/>
            <w:shd w:val="clear" w:color="auto" w:fill="FFFFFF"/>
          </w:tcPr>
          <w:p w14:paraId="487440BC" w14:textId="2EF5ECAB" w:rsidR="00C77C33" w:rsidRPr="00A93608" w:rsidRDefault="00226B2F" w:rsidP="0063570E">
            <w:pPr>
              <w:spacing w:before="120" w:after="120"/>
              <w:contextualSpacing/>
              <w:jc w:val="both"/>
              <w:rPr>
                <w:rFonts w:ascii="Times New Roman" w:hAnsi="Times New Roman" w:cs="Times New Roman"/>
                <w:b/>
                <w:color w:val="auto"/>
                <w:sz w:val="26"/>
                <w:szCs w:val="26"/>
              </w:rPr>
            </w:pPr>
            <w:r w:rsidRPr="00A93608">
              <w:rPr>
                <w:rFonts w:ascii="Times New Roman" w:hAnsi="Times New Roman" w:cs="Times New Roman"/>
                <w:color w:val="auto"/>
                <w:sz w:val="26"/>
                <w:szCs w:val="26"/>
              </w:rPr>
              <w:lastRenderedPageBreak/>
              <w:t>UBND cấp tỉnh hoặc cơ quan, đơn vị được UBND cấp tỉnh phân cấp/ủy quyền</w:t>
            </w:r>
          </w:p>
        </w:tc>
        <w:tc>
          <w:tcPr>
            <w:tcW w:w="299" w:type="pct"/>
            <w:shd w:val="clear" w:color="auto" w:fill="FFFFFF"/>
          </w:tcPr>
          <w:p w14:paraId="2EE456EC" w14:textId="588C601E" w:rsidR="00C77C33" w:rsidRPr="00A93608" w:rsidRDefault="00C77C33" w:rsidP="0063570E">
            <w:pPr>
              <w:spacing w:before="120" w:after="120"/>
              <w:contextualSpacing/>
              <w:jc w:val="both"/>
              <w:rPr>
                <w:rFonts w:ascii="Times New Roman" w:hAnsi="Times New Roman" w:cs="Times New Roman"/>
                <w:b/>
                <w:color w:val="auto"/>
                <w:sz w:val="26"/>
                <w:szCs w:val="26"/>
              </w:rPr>
            </w:pPr>
            <w:r w:rsidRPr="00A93608">
              <w:rPr>
                <w:rFonts w:ascii="Times New Roman" w:hAnsi="Times New Roman" w:cs="Times New Roman"/>
                <w:bCs/>
                <w:color w:val="auto"/>
                <w:sz w:val="26"/>
                <w:szCs w:val="26"/>
              </w:rPr>
              <w:t>Không</w:t>
            </w:r>
          </w:p>
        </w:tc>
        <w:tc>
          <w:tcPr>
            <w:tcW w:w="980" w:type="pct"/>
            <w:shd w:val="clear" w:color="auto" w:fill="FFFFFF"/>
          </w:tcPr>
          <w:p w14:paraId="1C504DDF" w14:textId="77777777" w:rsidR="00C77C33" w:rsidRPr="00A93608" w:rsidRDefault="00C77C33" w:rsidP="0063570E">
            <w:pPr>
              <w:spacing w:before="120" w:after="120"/>
              <w:jc w:val="both"/>
              <w:rPr>
                <w:rFonts w:ascii="Times New Roman" w:hAnsi="Times New Roman" w:cs="Times New Roman"/>
                <w:bCs/>
                <w:color w:val="auto"/>
                <w:sz w:val="26"/>
                <w:szCs w:val="26"/>
              </w:rPr>
            </w:pPr>
            <w:r w:rsidRPr="00A93608">
              <w:rPr>
                <w:rFonts w:ascii="Times New Roman" w:hAnsi="Times New Roman" w:cs="Times New Roman"/>
                <w:bCs/>
                <w:color w:val="auto"/>
                <w:sz w:val="26"/>
                <w:szCs w:val="26"/>
              </w:rPr>
              <w:t>- Luật khoa học và công nghệ ngày 18 tháng 6 năm 2013.</w:t>
            </w:r>
          </w:p>
          <w:p w14:paraId="4FC817DD" w14:textId="77777777" w:rsidR="00C77C33" w:rsidRPr="00A93608" w:rsidRDefault="00C77C33" w:rsidP="0063570E">
            <w:pPr>
              <w:spacing w:before="120" w:after="120"/>
              <w:jc w:val="both"/>
              <w:rPr>
                <w:rFonts w:ascii="Times New Roman" w:hAnsi="Times New Roman" w:cs="Times New Roman"/>
                <w:bCs/>
                <w:color w:val="auto"/>
                <w:sz w:val="26"/>
                <w:szCs w:val="26"/>
              </w:rPr>
            </w:pPr>
            <w:r w:rsidRPr="00A93608">
              <w:rPr>
                <w:rFonts w:ascii="Times New Roman" w:hAnsi="Times New Roman" w:cs="Times New Roman"/>
                <w:bCs/>
                <w:color w:val="auto"/>
                <w:sz w:val="26"/>
                <w:szCs w:val="26"/>
              </w:rPr>
              <w:t>- Nghị định số 08/2014/NĐ-CP ngày 27 tháng 01 năm 2014 của Chính phủ quy định chi tiết và hướng dẫn thi hành một số điều của Luật khoa học và công nghệ.</w:t>
            </w:r>
          </w:p>
          <w:p w14:paraId="4A48476F" w14:textId="77777777" w:rsidR="00C77C33" w:rsidRPr="00A93608" w:rsidRDefault="00C77C33" w:rsidP="0063570E">
            <w:pPr>
              <w:spacing w:before="120" w:after="120"/>
              <w:jc w:val="both"/>
              <w:rPr>
                <w:rFonts w:ascii="Times New Roman" w:hAnsi="Times New Roman" w:cs="Times New Roman"/>
                <w:bCs/>
                <w:color w:val="auto"/>
                <w:sz w:val="26"/>
                <w:szCs w:val="26"/>
              </w:rPr>
            </w:pPr>
            <w:r w:rsidRPr="00A93608">
              <w:rPr>
                <w:rFonts w:ascii="Times New Roman" w:hAnsi="Times New Roman" w:cs="Times New Roman"/>
                <w:bCs/>
                <w:color w:val="auto"/>
                <w:sz w:val="26"/>
                <w:szCs w:val="26"/>
              </w:rPr>
              <w:t xml:space="preserve">- Thông tư số 09/2024/TT-BKHCN ngày 27 tháng 12 năm 2024 của Bộ trưởng Bộ Khoa học và Công nghệ quy định quản lý nhiệm vụ khoa học và công nghệ cấp tỉnh, cấp cơ sở sử dụng ngân sách nhà </w:t>
            </w:r>
            <w:r w:rsidRPr="00A93608">
              <w:rPr>
                <w:rFonts w:ascii="Times New Roman" w:hAnsi="Times New Roman" w:cs="Times New Roman"/>
                <w:bCs/>
                <w:color w:val="auto"/>
                <w:sz w:val="26"/>
                <w:szCs w:val="26"/>
              </w:rPr>
              <w:lastRenderedPageBreak/>
              <w:t>nước.</w:t>
            </w:r>
          </w:p>
          <w:p w14:paraId="08E7616C" w14:textId="51E95879" w:rsidR="00C77C33" w:rsidRPr="00A93608" w:rsidRDefault="00C77C33" w:rsidP="0063570E">
            <w:pPr>
              <w:spacing w:before="120" w:after="120"/>
              <w:contextualSpacing/>
              <w:jc w:val="both"/>
              <w:rPr>
                <w:rFonts w:ascii="Times New Roman" w:hAnsi="Times New Roman" w:cs="Times New Roman"/>
                <w:b/>
                <w:color w:val="auto"/>
                <w:sz w:val="26"/>
                <w:szCs w:val="26"/>
              </w:rPr>
            </w:pPr>
            <w:r w:rsidRPr="00A93608">
              <w:rPr>
                <w:rFonts w:ascii="Times New Roman" w:hAnsi="Times New Roman" w:cs="Times New Roman"/>
                <w:bCs/>
                <w:color w:val="auto"/>
                <w:sz w:val="26"/>
                <w:szCs w:val="26"/>
              </w:rPr>
              <w:t>- Quyết định số 45/QĐ-BKHCN ngày 15 tháng 01 năm 2025 của Bộ trưởng Bộ Khoa học và Công nghệ về việc công bố thủ tục hành chính mới ban hành trong lĩnh vực hoạt động khoa học và công nghệ thuộc phạm vi chức năng quản lý của Bộ Khoa học và Công nghệ.</w:t>
            </w:r>
          </w:p>
        </w:tc>
        <w:tc>
          <w:tcPr>
            <w:tcW w:w="1793" w:type="pct"/>
            <w:shd w:val="clear" w:color="auto" w:fill="FFFFFF"/>
          </w:tcPr>
          <w:p w14:paraId="7FF3EA0D" w14:textId="77777777" w:rsidR="00C77C33" w:rsidRPr="00A93608" w:rsidRDefault="00C77C33" w:rsidP="0063570E">
            <w:pPr>
              <w:spacing w:before="120" w:after="120"/>
              <w:ind w:left="-25"/>
              <w:jc w:val="both"/>
              <w:rPr>
                <w:rFonts w:ascii="Times New Roman" w:hAnsi="Times New Roman" w:cs="Times New Roman"/>
                <w:b/>
                <w:color w:val="auto"/>
                <w:sz w:val="26"/>
                <w:szCs w:val="26"/>
              </w:rPr>
            </w:pPr>
            <w:r w:rsidRPr="00A93608">
              <w:rPr>
                <w:rFonts w:ascii="Times New Roman" w:hAnsi="Times New Roman" w:cs="Times New Roman"/>
                <w:b/>
                <w:color w:val="auto"/>
                <w:sz w:val="26"/>
                <w:szCs w:val="26"/>
              </w:rPr>
              <w:lastRenderedPageBreak/>
              <w:t>1. Trình tự thực hiện TTHC:</w:t>
            </w:r>
          </w:p>
          <w:p w14:paraId="4B66FB98" w14:textId="77777777" w:rsidR="00C77C33" w:rsidRPr="00A93608" w:rsidRDefault="00C77C33" w:rsidP="0063570E">
            <w:pPr>
              <w:spacing w:before="120" w:after="120"/>
              <w:ind w:left="-25"/>
              <w:jc w:val="both"/>
              <w:rPr>
                <w:rFonts w:ascii="Times New Roman" w:hAnsi="Times New Roman" w:cs="Times New Roman"/>
                <w:bCs/>
                <w:i/>
                <w:color w:val="auto"/>
                <w:sz w:val="26"/>
                <w:szCs w:val="26"/>
              </w:rPr>
            </w:pPr>
            <w:r w:rsidRPr="00A93608">
              <w:rPr>
                <w:rFonts w:ascii="Times New Roman" w:hAnsi="Times New Roman" w:cs="Times New Roman"/>
                <w:bCs/>
                <w:i/>
                <w:color w:val="auto"/>
                <w:sz w:val="26"/>
                <w:szCs w:val="26"/>
              </w:rPr>
              <w:t>Bước 1: Nộp hồ sơ đăng ký tham gia tuyển chọn nhiệm vụ khoa học và công nghệ cấp tỉnh</w:t>
            </w:r>
          </w:p>
          <w:p w14:paraId="48CECE42" w14:textId="4A907520" w:rsidR="00C77C33" w:rsidRPr="00A93608" w:rsidRDefault="00C77C33" w:rsidP="0063570E">
            <w:pPr>
              <w:spacing w:before="120" w:after="120"/>
              <w:ind w:left="-25"/>
              <w:jc w:val="both"/>
              <w:rPr>
                <w:rFonts w:ascii="Times New Roman" w:hAnsi="Times New Roman" w:cs="Times New Roman"/>
                <w:bCs/>
                <w:color w:val="auto"/>
                <w:sz w:val="26"/>
                <w:szCs w:val="26"/>
              </w:rPr>
            </w:pPr>
            <w:r w:rsidRPr="00A93608">
              <w:rPr>
                <w:rFonts w:ascii="Times New Roman" w:hAnsi="Times New Roman" w:cs="Times New Roman"/>
                <w:bCs/>
                <w:color w:val="auto"/>
                <w:sz w:val="26"/>
                <w:szCs w:val="26"/>
              </w:rPr>
              <w:t xml:space="preserve">Tổ chức, cá nhân đủ điều kiện gửi hồ sơ đăng ký tham gia tuyển chọn nhiệm vụ khoa học và công nghệ cấp tỉnh về </w:t>
            </w:r>
            <w:r w:rsidR="00594DD6" w:rsidRPr="00A93608">
              <w:rPr>
                <w:rFonts w:ascii="Times New Roman" w:hAnsi="Times New Roman" w:cs="Times New Roman"/>
                <w:color w:val="auto"/>
                <w:sz w:val="26"/>
                <w:szCs w:val="26"/>
              </w:rPr>
              <w:t>UBND cấp tỉnh hoặc cơ quan, đơn vị được UBND cấp tỉnh phân cấp/ủy quyền</w:t>
            </w:r>
            <w:r w:rsidRPr="00A93608">
              <w:rPr>
                <w:rFonts w:ascii="Times New Roman" w:hAnsi="Times New Roman" w:cs="Times New Roman"/>
                <w:bCs/>
                <w:color w:val="auto"/>
                <w:sz w:val="26"/>
                <w:szCs w:val="26"/>
              </w:rPr>
              <w:t>.</w:t>
            </w:r>
          </w:p>
          <w:p w14:paraId="40CBA43A" w14:textId="77777777" w:rsidR="00C77C33" w:rsidRPr="00A93608" w:rsidRDefault="00C77C33" w:rsidP="0063570E">
            <w:pPr>
              <w:spacing w:before="120" w:after="120"/>
              <w:ind w:left="-25"/>
              <w:jc w:val="both"/>
              <w:rPr>
                <w:rFonts w:ascii="Times New Roman" w:hAnsi="Times New Roman" w:cs="Times New Roman"/>
                <w:bCs/>
                <w:i/>
                <w:color w:val="auto"/>
                <w:sz w:val="26"/>
                <w:szCs w:val="26"/>
              </w:rPr>
            </w:pPr>
            <w:r w:rsidRPr="00A93608">
              <w:rPr>
                <w:rFonts w:ascii="Times New Roman" w:hAnsi="Times New Roman" w:cs="Times New Roman"/>
                <w:bCs/>
                <w:i/>
                <w:color w:val="auto"/>
                <w:sz w:val="26"/>
                <w:szCs w:val="26"/>
              </w:rPr>
              <w:t>Bước 2: Mở, kiểm tra và xác nhận tính hợp lệ của hồ sơ đăng ký tham gia tuyển chọn nhiệm vụ khoa học và công nghệ cấp tỉnh</w:t>
            </w:r>
          </w:p>
          <w:p w14:paraId="5F680E46" w14:textId="3CA4EED4" w:rsidR="00C77C33" w:rsidRPr="00A93608" w:rsidRDefault="00136F64" w:rsidP="0063570E">
            <w:pPr>
              <w:spacing w:before="120" w:after="120"/>
              <w:ind w:left="-25"/>
              <w:jc w:val="both"/>
              <w:rPr>
                <w:rFonts w:ascii="Times New Roman" w:hAnsi="Times New Roman" w:cs="Times New Roman"/>
                <w:bCs/>
                <w:color w:val="auto"/>
                <w:sz w:val="26"/>
                <w:szCs w:val="26"/>
              </w:rPr>
            </w:pPr>
            <w:r w:rsidRPr="00A93608">
              <w:rPr>
                <w:rFonts w:ascii="Times New Roman" w:hAnsi="Times New Roman" w:cs="Times New Roman"/>
                <w:color w:val="auto"/>
                <w:sz w:val="26"/>
                <w:szCs w:val="26"/>
              </w:rPr>
              <w:t>UBND cấp tỉnh hoặc cơ quan, đơn vị được UBND cấp tỉnh phân cấp/ủy quyền</w:t>
            </w:r>
            <w:r w:rsidRPr="00A93608">
              <w:rPr>
                <w:rFonts w:ascii="Times New Roman" w:hAnsi="Times New Roman" w:cs="Times New Roman"/>
                <w:bCs/>
                <w:color w:val="auto"/>
                <w:sz w:val="26"/>
                <w:szCs w:val="26"/>
              </w:rPr>
              <w:t xml:space="preserve"> </w:t>
            </w:r>
            <w:r w:rsidR="00C77C33" w:rsidRPr="00A93608">
              <w:rPr>
                <w:rFonts w:ascii="Times New Roman" w:hAnsi="Times New Roman" w:cs="Times New Roman"/>
                <w:bCs/>
                <w:color w:val="auto"/>
                <w:sz w:val="26"/>
                <w:szCs w:val="26"/>
              </w:rPr>
              <w:t xml:space="preserve">tiến hành mở, kiểm tra và xác nhận tính hợp lệ của hồ sơ đăng ký tham gia tuyển chọn nhiệm vụ khoa học và công nghệ cấp tỉnh trong thời hạn 10 ngày làm việc kể từ khi kết thúc thời hạn nhận hồ sơ. Kết quả mở hồ sơ được </w:t>
            </w:r>
            <w:r w:rsidR="00C77C33" w:rsidRPr="00A93608">
              <w:rPr>
                <w:rFonts w:ascii="Times New Roman" w:hAnsi="Times New Roman" w:cs="Times New Roman"/>
                <w:bCs/>
                <w:color w:val="auto"/>
                <w:sz w:val="26"/>
                <w:szCs w:val="26"/>
              </w:rPr>
              <w:lastRenderedPageBreak/>
              <w:t>lập thành biên bản theo Mẫu IV.01-BBMHS.</w:t>
            </w:r>
          </w:p>
          <w:p w14:paraId="35F87F07" w14:textId="77777777" w:rsidR="00C77C33" w:rsidRPr="00A93608" w:rsidRDefault="00C77C33" w:rsidP="0063570E">
            <w:pPr>
              <w:spacing w:before="120" w:after="120"/>
              <w:ind w:left="-25"/>
              <w:jc w:val="both"/>
              <w:rPr>
                <w:rFonts w:ascii="Times New Roman" w:hAnsi="Times New Roman" w:cs="Times New Roman"/>
                <w:bCs/>
                <w:i/>
                <w:color w:val="auto"/>
                <w:sz w:val="26"/>
                <w:szCs w:val="26"/>
              </w:rPr>
            </w:pPr>
            <w:r w:rsidRPr="00A93608">
              <w:rPr>
                <w:rFonts w:ascii="Times New Roman" w:hAnsi="Times New Roman" w:cs="Times New Roman"/>
                <w:bCs/>
                <w:i/>
                <w:color w:val="auto"/>
                <w:sz w:val="26"/>
                <w:szCs w:val="26"/>
              </w:rPr>
              <w:t>Bước 3: Thành lập Hội đồng tư vấn tuyển chọn và Tổ thẩm định kinh phí giúp việc cho Hội đồng tuyển chọn nhiệm vụ khoa học và công nghệ cấp tỉnh</w:t>
            </w:r>
          </w:p>
          <w:p w14:paraId="192E0317" w14:textId="2EF03625" w:rsidR="00C77C33" w:rsidRPr="00A93608" w:rsidRDefault="005A5C00" w:rsidP="0063570E">
            <w:pPr>
              <w:spacing w:before="120" w:after="120"/>
              <w:ind w:left="-25"/>
              <w:jc w:val="both"/>
              <w:rPr>
                <w:rFonts w:ascii="Times New Roman" w:hAnsi="Times New Roman" w:cs="Times New Roman"/>
                <w:bCs/>
                <w:color w:val="auto"/>
                <w:sz w:val="26"/>
                <w:szCs w:val="26"/>
              </w:rPr>
            </w:pPr>
            <w:r w:rsidRPr="00A93608">
              <w:rPr>
                <w:rFonts w:ascii="Times New Roman" w:hAnsi="Times New Roman" w:cs="Times New Roman"/>
                <w:color w:val="auto"/>
                <w:sz w:val="26"/>
                <w:szCs w:val="26"/>
                <w:lang w:val="vi-VN"/>
              </w:rPr>
              <w:t xml:space="preserve">Chủ tịch UBND cấp tỉnh </w:t>
            </w:r>
            <w:r w:rsidRPr="00A93608">
              <w:rPr>
                <w:rFonts w:ascii="Times New Roman" w:hAnsi="Times New Roman" w:cs="Times New Roman"/>
                <w:iCs/>
                <w:color w:val="auto"/>
                <w:sz w:val="26"/>
                <w:szCs w:val="26"/>
                <w:lang w:val="da-DK"/>
              </w:rPr>
              <w:t xml:space="preserve">hoặc người được </w:t>
            </w:r>
            <w:r w:rsidRPr="00A93608">
              <w:rPr>
                <w:rFonts w:ascii="Times New Roman" w:hAnsi="Times New Roman" w:cs="Times New Roman"/>
                <w:color w:val="auto"/>
                <w:sz w:val="26"/>
                <w:szCs w:val="26"/>
                <w:lang w:val="vi-VN"/>
              </w:rPr>
              <w:t>Chủ tịch</w:t>
            </w:r>
            <w:r w:rsidRPr="00A93608">
              <w:rPr>
                <w:rFonts w:ascii="Times New Roman" w:hAnsi="Times New Roman" w:cs="Times New Roman"/>
                <w:iCs/>
                <w:color w:val="auto"/>
                <w:sz w:val="26"/>
                <w:szCs w:val="26"/>
                <w:lang w:val="da-DK"/>
              </w:rPr>
              <w:t xml:space="preserve"> </w:t>
            </w:r>
            <w:r w:rsidRPr="00A93608">
              <w:rPr>
                <w:rFonts w:ascii="Times New Roman" w:hAnsi="Times New Roman" w:cs="Times New Roman"/>
                <w:iCs/>
                <w:color w:val="auto"/>
                <w:sz w:val="26"/>
                <w:szCs w:val="26"/>
                <w:lang w:val="vi-VN"/>
              </w:rPr>
              <w:t>UBND</w:t>
            </w:r>
            <w:r w:rsidRPr="00A93608">
              <w:rPr>
                <w:rFonts w:ascii="Times New Roman" w:hAnsi="Times New Roman" w:cs="Times New Roman"/>
                <w:iCs/>
                <w:color w:val="auto"/>
                <w:sz w:val="26"/>
                <w:szCs w:val="26"/>
                <w:lang w:val="da-DK"/>
              </w:rPr>
              <w:t xml:space="preserve"> cấp tỉnh phân cấp/ủy quyền</w:t>
            </w:r>
            <w:r w:rsidRPr="00A93608">
              <w:rPr>
                <w:rFonts w:ascii="Times New Roman" w:hAnsi="Times New Roman" w:cs="Times New Roman"/>
                <w:iCs/>
                <w:color w:val="auto"/>
                <w:sz w:val="26"/>
                <w:szCs w:val="26"/>
                <w:lang w:val="vi-VN"/>
              </w:rPr>
              <w:t xml:space="preserve"> </w:t>
            </w:r>
            <w:r w:rsidR="00C77C33" w:rsidRPr="00A93608">
              <w:rPr>
                <w:rFonts w:ascii="Times New Roman" w:hAnsi="Times New Roman" w:cs="Times New Roman"/>
                <w:bCs/>
                <w:color w:val="auto"/>
                <w:sz w:val="26"/>
                <w:szCs w:val="26"/>
              </w:rPr>
              <w:t>quyết định thành lập, quy định số lượng thành viên, chức năng, nhiệm vụ của Hội đồng tư vấn tuyển chọn thực hiện nhiệm vụ khoa học và công nghệ và Tổ thẩm định kinh phí giúp việc cho Hội đồng tuyển chọn.</w:t>
            </w:r>
          </w:p>
          <w:p w14:paraId="15395124" w14:textId="77777777" w:rsidR="00C77C33" w:rsidRPr="00A93608" w:rsidRDefault="00C77C33" w:rsidP="0063570E">
            <w:pPr>
              <w:spacing w:before="120" w:after="120"/>
              <w:ind w:left="-25"/>
              <w:jc w:val="both"/>
              <w:rPr>
                <w:rFonts w:ascii="Times New Roman" w:hAnsi="Times New Roman" w:cs="Times New Roman"/>
                <w:bCs/>
                <w:i/>
                <w:color w:val="auto"/>
                <w:sz w:val="26"/>
                <w:szCs w:val="26"/>
              </w:rPr>
            </w:pPr>
            <w:r w:rsidRPr="00A93608">
              <w:rPr>
                <w:rFonts w:ascii="Times New Roman" w:hAnsi="Times New Roman" w:cs="Times New Roman"/>
                <w:bCs/>
                <w:i/>
                <w:color w:val="auto"/>
                <w:sz w:val="26"/>
                <w:szCs w:val="26"/>
              </w:rPr>
              <w:t>Bước 4: Tổ chức họp Hội đồng tư vấn tuyển chọn và Tổ thẩm định kinh phí giúp việc cho Hội đồng tuyển chọn nhiệm vụ khoa học và công nghệ cấp tỉnh</w:t>
            </w:r>
          </w:p>
          <w:p w14:paraId="52EA8601" w14:textId="3AD126A2" w:rsidR="00C77C33" w:rsidRPr="00A93608" w:rsidRDefault="007E1471" w:rsidP="0063570E">
            <w:pPr>
              <w:spacing w:before="120" w:after="120"/>
              <w:ind w:left="-25"/>
              <w:jc w:val="both"/>
              <w:rPr>
                <w:rFonts w:ascii="Times New Roman" w:hAnsi="Times New Roman" w:cs="Times New Roman"/>
                <w:bCs/>
                <w:color w:val="auto"/>
                <w:sz w:val="26"/>
                <w:szCs w:val="26"/>
              </w:rPr>
            </w:pPr>
            <w:r w:rsidRPr="00A93608">
              <w:rPr>
                <w:rFonts w:ascii="Times New Roman" w:hAnsi="Times New Roman" w:cs="Times New Roman"/>
                <w:color w:val="auto"/>
                <w:sz w:val="26"/>
                <w:szCs w:val="26"/>
              </w:rPr>
              <w:t>UBND cấp tỉnh hoặc cơ quan, đơn vị được UBND cấp tỉnh phân cấp/ủy quyền</w:t>
            </w:r>
            <w:r w:rsidRPr="00A93608">
              <w:rPr>
                <w:rFonts w:ascii="Times New Roman" w:hAnsi="Times New Roman" w:cs="Times New Roman"/>
                <w:bCs/>
                <w:color w:val="auto"/>
                <w:sz w:val="26"/>
                <w:szCs w:val="26"/>
              </w:rPr>
              <w:t xml:space="preserve"> </w:t>
            </w:r>
            <w:r w:rsidR="00C77C33" w:rsidRPr="00A93608">
              <w:rPr>
                <w:rFonts w:ascii="Times New Roman" w:hAnsi="Times New Roman" w:cs="Times New Roman"/>
                <w:bCs/>
                <w:color w:val="auto"/>
                <w:sz w:val="26"/>
                <w:szCs w:val="26"/>
              </w:rPr>
              <w:t>tổ chức họp Hội đồng tư vấn tuyển chọn thực hiện nhiệm vụ khoa học và công nghệ cấp tỉnh đối với những hồ sơ hợp lệ và thẩm định kinh phí thực hiện nhiệm vụ.</w:t>
            </w:r>
          </w:p>
          <w:p w14:paraId="0A23A97C" w14:textId="77777777" w:rsidR="00C77C33" w:rsidRPr="00A93608" w:rsidRDefault="00C77C33" w:rsidP="0063570E">
            <w:pPr>
              <w:spacing w:before="120" w:after="120"/>
              <w:ind w:left="-25"/>
              <w:jc w:val="both"/>
              <w:rPr>
                <w:rFonts w:ascii="Times New Roman" w:hAnsi="Times New Roman" w:cs="Times New Roman"/>
                <w:bCs/>
                <w:i/>
                <w:color w:val="auto"/>
                <w:sz w:val="26"/>
                <w:szCs w:val="26"/>
              </w:rPr>
            </w:pPr>
            <w:r w:rsidRPr="00A93608">
              <w:rPr>
                <w:rFonts w:ascii="Times New Roman" w:hAnsi="Times New Roman" w:cs="Times New Roman"/>
                <w:bCs/>
                <w:i/>
                <w:color w:val="auto"/>
                <w:sz w:val="26"/>
                <w:szCs w:val="26"/>
              </w:rPr>
              <w:t>Bước 5: Phê duyệt tổ chức, cá nhân chủ trì thực hiện nhiệm vụ khoa học và công nghệ cấp tỉnh</w:t>
            </w:r>
          </w:p>
          <w:p w14:paraId="1529BAB7" w14:textId="2E8A6A88" w:rsidR="00C77C33" w:rsidRPr="00A93608" w:rsidRDefault="00C77C33" w:rsidP="0063570E">
            <w:pPr>
              <w:spacing w:before="120" w:after="120"/>
              <w:ind w:left="-25"/>
              <w:jc w:val="both"/>
              <w:rPr>
                <w:rFonts w:ascii="Times New Roman" w:hAnsi="Times New Roman" w:cs="Times New Roman"/>
                <w:bCs/>
                <w:color w:val="auto"/>
                <w:sz w:val="26"/>
                <w:szCs w:val="26"/>
              </w:rPr>
            </w:pPr>
            <w:r w:rsidRPr="00A93608">
              <w:rPr>
                <w:rFonts w:ascii="Times New Roman" w:hAnsi="Times New Roman" w:cs="Times New Roman"/>
                <w:bCs/>
                <w:color w:val="auto"/>
                <w:sz w:val="26"/>
                <w:szCs w:val="26"/>
              </w:rPr>
              <w:t xml:space="preserve">Trên cơ sở kết luận của Hội đồng tư vấn tuyển chọn, tổ thẩm định kinh phí, ý kiến của chuyên gia tư vấn độc lập (nếu có) và báo cáo kết quả của đơn vị chức năng, </w:t>
            </w:r>
            <w:r w:rsidR="007E1471" w:rsidRPr="00A93608">
              <w:rPr>
                <w:rFonts w:ascii="Times New Roman" w:hAnsi="Times New Roman" w:cs="Times New Roman"/>
                <w:color w:val="auto"/>
                <w:sz w:val="26"/>
                <w:szCs w:val="26"/>
              </w:rPr>
              <w:t>UBND cấp tỉnh hoặc cơ quan, đơn vị được UBND cấp tỉnh phân cấp/ủy quyền</w:t>
            </w:r>
            <w:r w:rsidR="007E1471" w:rsidRPr="00A93608">
              <w:rPr>
                <w:rFonts w:ascii="Times New Roman" w:hAnsi="Times New Roman" w:cs="Times New Roman"/>
                <w:bCs/>
                <w:color w:val="auto"/>
                <w:sz w:val="26"/>
                <w:szCs w:val="26"/>
              </w:rPr>
              <w:t xml:space="preserve"> </w:t>
            </w:r>
            <w:r w:rsidRPr="00A93608">
              <w:rPr>
                <w:rFonts w:ascii="Times New Roman" w:hAnsi="Times New Roman" w:cs="Times New Roman"/>
                <w:bCs/>
                <w:color w:val="auto"/>
                <w:sz w:val="26"/>
                <w:szCs w:val="26"/>
              </w:rPr>
              <w:t xml:space="preserve">ký quyết </w:t>
            </w:r>
            <w:r w:rsidRPr="00A93608">
              <w:rPr>
                <w:rFonts w:ascii="Times New Roman" w:hAnsi="Times New Roman" w:cs="Times New Roman"/>
                <w:bCs/>
                <w:color w:val="auto"/>
                <w:sz w:val="26"/>
                <w:szCs w:val="26"/>
              </w:rPr>
              <w:lastRenderedPageBreak/>
              <w:t>định phê duyệt tổ chức, cá nhân chủ trì thực hiện nhiệm vụ khoa học và công nghệ cấp tỉnh.</w:t>
            </w:r>
          </w:p>
          <w:p w14:paraId="7CECA896" w14:textId="77777777" w:rsidR="00C77C33" w:rsidRPr="00A93608" w:rsidRDefault="00C77C33" w:rsidP="0063570E">
            <w:pPr>
              <w:spacing w:before="120" w:after="120"/>
              <w:ind w:left="-25"/>
              <w:jc w:val="both"/>
              <w:rPr>
                <w:rFonts w:ascii="Times New Roman" w:hAnsi="Times New Roman" w:cs="Times New Roman"/>
                <w:bCs/>
                <w:i/>
                <w:color w:val="auto"/>
                <w:sz w:val="26"/>
                <w:szCs w:val="26"/>
              </w:rPr>
            </w:pPr>
            <w:r w:rsidRPr="00A93608">
              <w:rPr>
                <w:rFonts w:ascii="Times New Roman" w:hAnsi="Times New Roman" w:cs="Times New Roman"/>
                <w:bCs/>
                <w:i/>
                <w:color w:val="auto"/>
                <w:sz w:val="26"/>
                <w:szCs w:val="26"/>
              </w:rPr>
              <w:t xml:space="preserve">Bước 6: Thông báo kết quả tuyển chọn tổ chức, cá nhân chủ trì thực hiện nhiệm vụ khoa học và công nghệ cấp tỉnh </w:t>
            </w:r>
          </w:p>
          <w:p w14:paraId="1E0C85D8" w14:textId="32C1B29C" w:rsidR="00C77C33" w:rsidRPr="00A93608" w:rsidRDefault="005E48F9" w:rsidP="0063570E">
            <w:pPr>
              <w:spacing w:before="120" w:after="120"/>
              <w:ind w:left="-25"/>
              <w:jc w:val="both"/>
              <w:rPr>
                <w:rFonts w:ascii="Times New Roman" w:hAnsi="Times New Roman" w:cs="Times New Roman"/>
                <w:bCs/>
                <w:color w:val="auto"/>
                <w:sz w:val="26"/>
                <w:szCs w:val="26"/>
              </w:rPr>
            </w:pPr>
            <w:r w:rsidRPr="00A93608">
              <w:rPr>
                <w:rFonts w:ascii="Times New Roman" w:hAnsi="Times New Roman" w:cs="Times New Roman"/>
                <w:color w:val="auto"/>
                <w:sz w:val="26"/>
                <w:szCs w:val="26"/>
              </w:rPr>
              <w:t>UBND cấp tỉnh hoặc cơ quan, đơn vị được UBND cấp tỉnh phân cấp/ủy quyền</w:t>
            </w:r>
            <w:r w:rsidRPr="00A93608">
              <w:rPr>
                <w:rFonts w:ascii="Times New Roman" w:hAnsi="Times New Roman" w:cs="Times New Roman"/>
                <w:bCs/>
                <w:color w:val="auto"/>
                <w:sz w:val="26"/>
                <w:szCs w:val="26"/>
              </w:rPr>
              <w:t xml:space="preserve"> </w:t>
            </w:r>
            <w:r w:rsidR="00C77C33" w:rsidRPr="00A93608">
              <w:rPr>
                <w:rFonts w:ascii="Times New Roman" w:hAnsi="Times New Roman" w:cs="Times New Roman"/>
                <w:bCs/>
                <w:color w:val="auto"/>
                <w:sz w:val="26"/>
                <w:szCs w:val="26"/>
              </w:rPr>
              <w:t xml:space="preserve">có trách nhiệm thông báo công khai kết quả tuyển chọn và đăng tải ít nhất 45 ngày trên </w:t>
            </w:r>
            <w:r w:rsidR="00666AA3" w:rsidRPr="00A93608">
              <w:rPr>
                <w:rFonts w:ascii="Times New Roman" w:hAnsi="Times New Roman" w:cs="Times New Roman"/>
                <w:bCs/>
                <w:color w:val="auto"/>
                <w:sz w:val="26"/>
                <w:szCs w:val="26"/>
              </w:rPr>
              <w:t>Trang</w:t>
            </w:r>
            <w:r w:rsidR="00C77C33" w:rsidRPr="00A93608">
              <w:rPr>
                <w:rFonts w:ascii="Times New Roman" w:hAnsi="Times New Roman" w:cs="Times New Roman"/>
                <w:bCs/>
                <w:color w:val="auto"/>
                <w:sz w:val="26"/>
                <w:szCs w:val="26"/>
              </w:rPr>
              <w:t xml:space="preserve"> thông tin điện tử của cơ quan, đơn vị mình hoặc phương tiện thông tin đại chúng khác.</w:t>
            </w:r>
          </w:p>
          <w:p w14:paraId="3DA67C6B" w14:textId="2CBD3751" w:rsidR="00470041" w:rsidRPr="00A93608" w:rsidRDefault="00470041" w:rsidP="0063570E">
            <w:pPr>
              <w:spacing w:before="120" w:after="120"/>
              <w:ind w:left="-25"/>
              <w:jc w:val="both"/>
              <w:rPr>
                <w:rFonts w:ascii="Times New Roman" w:hAnsi="Times New Roman" w:cs="Times New Roman"/>
                <w:b/>
                <w:color w:val="auto"/>
                <w:sz w:val="26"/>
                <w:szCs w:val="26"/>
              </w:rPr>
            </w:pPr>
            <w:r w:rsidRPr="00A93608">
              <w:rPr>
                <w:rFonts w:ascii="Times New Roman" w:hAnsi="Times New Roman" w:cs="Times New Roman"/>
                <w:b/>
                <w:color w:val="auto"/>
                <w:sz w:val="26"/>
                <w:szCs w:val="26"/>
                <w:lang w:val="vi-VN"/>
              </w:rPr>
              <w:t>2</w:t>
            </w:r>
            <w:r w:rsidRPr="00A93608">
              <w:rPr>
                <w:rFonts w:ascii="Times New Roman" w:hAnsi="Times New Roman" w:cs="Times New Roman"/>
                <w:b/>
                <w:color w:val="auto"/>
                <w:sz w:val="26"/>
                <w:szCs w:val="26"/>
              </w:rPr>
              <w:t xml:space="preserve">. Cơ quan thực hiện TTHC: </w:t>
            </w:r>
            <w:r w:rsidR="007E1471" w:rsidRPr="00A93608">
              <w:rPr>
                <w:rFonts w:ascii="Times New Roman" w:hAnsi="Times New Roman" w:cs="Times New Roman"/>
                <w:color w:val="auto"/>
                <w:sz w:val="26"/>
                <w:szCs w:val="26"/>
              </w:rPr>
              <w:t>UBND cấp tỉnh hoặc cơ quan, đơn vị được UBND cấp tỉnh phân cấp/ủy quyền</w:t>
            </w:r>
          </w:p>
          <w:p w14:paraId="2F911CDD" w14:textId="3A8D4548" w:rsidR="00C77C33" w:rsidRPr="00A93608" w:rsidRDefault="00470041" w:rsidP="0063570E">
            <w:pPr>
              <w:spacing w:before="120" w:after="120"/>
              <w:ind w:left="-25"/>
              <w:contextualSpacing/>
              <w:jc w:val="both"/>
              <w:rPr>
                <w:rFonts w:ascii="Times New Roman" w:hAnsi="Times New Roman" w:cs="Times New Roman"/>
                <w:b/>
                <w:color w:val="auto"/>
                <w:sz w:val="26"/>
                <w:szCs w:val="26"/>
              </w:rPr>
            </w:pPr>
            <w:r w:rsidRPr="00A93608">
              <w:rPr>
                <w:rFonts w:ascii="Times New Roman" w:hAnsi="Times New Roman" w:cs="Times New Roman"/>
                <w:b/>
                <w:color w:val="auto"/>
                <w:sz w:val="26"/>
                <w:szCs w:val="26"/>
              </w:rPr>
              <w:t xml:space="preserve">3. </w:t>
            </w:r>
            <w:r w:rsidR="00C77C33" w:rsidRPr="00A93608">
              <w:rPr>
                <w:rFonts w:ascii="Times New Roman" w:hAnsi="Times New Roman" w:cs="Times New Roman"/>
                <w:b/>
                <w:color w:val="auto"/>
                <w:sz w:val="26"/>
                <w:szCs w:val="26"/>
              </w:rPr>
              <w:t>Kết quả giải quyết TTHC:</w:t>
            </w:r>
            <w:r w:rsidR="00C77C33" w:rsidRPr="00A93608">
              <w:rPr>
                <w:rFonts w:ascii="Times New Roman" w:hAnsi="Times New Roman" w:cs="Times New Roman"/>
                <w:bCs/>
                <w:color w:val="auto"/>
                <w:sz w:val="26"/>
                <w:szCs w:val="26"/>
              </w:rPr>
              <w:t xml:space="preserve"> </w:t>
            </w:r>
            <w:r w:rsidR="005B3A0F" w:rsidRPr="00A93608">
              <w:rPr>
                <w:rFonts w:ascii="Times New Roman" w:hAnsi="Times New Roman" w:cs="Times New Roman"/>
                <w:color w:val="auto"/>
                <w:sz w:val="26"/>
                <w:szCs w:val="26"/>
              </w:rPr>
              <w:t>Quyết định phê duyệt tổ chức chủ trì, chủ nhiệm nhiệm vụ, kinh phí, phương thức khoán chi và thời gian thực hiện nhiệm vụ khoa học và công nghệ cấp tỉ</w:t>
            </w:r>
            <w:r w:rsidR="008C0251" w:rsidRPr="00A93608">
              <w:rPr>
                <w:rFonts w:ascii="Times New Roman" w:hAnsi="Times New Roman" w:cs="Times New Roman"/>
                <w:color w:val="auto"/>
                <w:sz w:val="26"/>
                <w:szCs w:val="26"/>
              </w:rPr>
              <w:t>nh</w:t>
            </w:r>
            <w:r w:rsidR="00C77C33" w:rsidRPr="00A93608">
              <w:rPr>
                <w:rFonts w:ascii="Times New Roman" w:hAnsi="Times New Roman" w:cs="Times New Roman"/>
                <w:bCs/>
                <w:color w:val="auto"/>
                <w:sz w:val="26"/>
                <w:szCs w:val="26"/>
              </w:rPr>
              <w:t>.</w:t>
            </w:r>
          </w:p>
        </w:tc>
      </w:tr>
      <w:tr w:rsidR="00A93608" w:rsidRPr="00A93608" w14:paraId="66982693" w14:textId="77777777" w:rsidTr="00C7485A">
        <w:tc>
          <w:tcPr>
            <w:tcW w:w="183" w:type="pct"/>
            <w:shd w:val="clear" w:color="auto" w:fill="auto"/>
          </w:tcPr>
          <w:p w14:paraId="2B8618EE" w14:textId="77777777" w:rsidR="00C77C33" w:rsidRPr="00A93608" w:rsidRDefault="00C77C33" w:rsidP="0063570E">
            <w:pPr>
              <w:numPr>
                <w:ilvl w:val="0"/>
                <w:numId w:val="19"/>
              </w:numPr>
              <w:spacing w:before="120" w:after="120"/>
              <w:contextualSpacing/>
              <w:jc w:val="both"/>
              <w:rPr>
                <w:rFonts w:ascii="Times New Roman" w:hAnsi="Times New Roman" w:cs="Times New Roman"/>
                <w:b/>
                <w:color w:val="auto"/>
                <w:sz w:val="26"/>
                <w:szCs w:val="26"/>
              </w:rPr>
            </w:pPr>
          </w:p>
        </w:tc>
        <w:tc>
          <w:tcPr>
            <w:tcW w:w="551" w:type="pct"/>
            <w:shd w:val="clear" w:color="auto" w:fill="FFFFFF"/>
          </w:tcPr>
          <w:p w14:paraId="52772286" w14:textId="6A67C97E" w:rsidR="00C77C33" w:rsidRPr="00A93608" w:rsidRDefault="00C77C33" w:rsidP="0063570E">
            <w:pPr>
              <w:spacing w:before="120" w:after="120"/>
              <w:contextualSpacing/>
              <w:jc w:val="both"/>
              <w:rPr>
                <w:rFonts w:ascii="Times New Roman" w:hAnsi="Times New Roman" w:cs="Times New Roman"/>
                <w:b/>
                <w:color w:val="auto"/>
                <w:sz w:val="26"/>
                <w:szCs w:val="26"/>
              </w:rPr>
            </w:pPr>
            <w:r w:rsidRPr="00A93608">
              <w:rPr>
                <w:rFonts w:ascii="Times New Roman" w:hAnsi="Times New Roman" w:cs="Times New Roman"/>
                <w:color w:val="auto"/>
                <w:sz w:val="26"/>
                <w:szCs w:val="26"/>
              </w:rPr>
              <w:t>Thủ tục đánh giá, nghiệm thu nhiệm vụ cấp tỉnh sử dụng ngân sách nhà nước</w:t>
            </w:r>
          </w:p>
        </w:tc>
        <w:tc>
          <w:tcPr>
            <w:tcW w:w="642" w:type="pct"/>
            <w:shd w:val="clear" w:color="auto" w:fill="FFFFFF"/>
          </w:tcPr>
          <w:p w14:paraId="2AA9D36C" w14:textId="7D438138" w:rsidR="00C77C33" w:rsidRPr="00A93608" w:rsidRDefault="00C77C33" w:rsidP="0063570E">
            <w:pPr>
              <w:pStyle w:val="ListParagraph"/>
              <w:widowControl w:val="0"/>
              <w:spacing w:before="120" w:after="120"/>
              <w:ind w:left="0"/>
              <w:jc w:val="both"/>
              <w:rPr>
                <w:sz w:val="26"/>
                <w:szCs w:val="26"/>
                <w:lang w:bidi="vi-VN"/>
              </w:rPr>
            </w:pPr>
            <w:r w:rsidRPr="00A93608">
              <w:rPr>
                <w:sz w:val="26"/>
                <w:szCs w:val="26"/>
              </w:rPr>
              <w:t>- Sau khi nhận được hồ sơ đề nghị đánh giá, nghiệm thu của tổ chức chủ trì nhiệm vụ</w:t>
            </w:r>
            <w:r w:rsidR="005E48F9" w:rsidRPr="00A93608">
              <w:rPr>
                <w:sz w:val="26"/>
                <w:szCs w:val="26"/>
              </w:rPr>
              <w:t xml:space="preserve">, </w:t>
            </w:r>
            <w:r w:rsidRPr="00A93608">
              <w:rPr>
                <w:sz w:val="26"/>
                <w:szCs w:val="26"/>
              </w:rPr>
              <w:t xml:space="preserve"> </w:t>
            </w:r>
            <w:r w:rsidR="005E48F9" w:rsidRPr="00A93608">
              <w:rPr>
                <w:sz w:val="26"/>
                <w:szCs w:val="26"/>
              </w:rPr>
              <w:t>UBND cấp tỉnh hoặc cơ quan, đơn vị được UBND cấp tỉnh phân cấp/ủy quyền</w:t>
            </w:r>
            <w:r w:rsidRPr="00A93608">
              <w:rPr>
                <w:sz w:val="26"/>
                <w:szCs w:val="26"/>
              </w:rPr>
              <w:t xml:space="preserve"> </w:t>
            </w:r>
            <w:r w:rsidRPr="00A93608">
              <w:rPr>
                <w:sz w:val="26"/>
                <w:szCs w:val="26"/>
                <w:lang w:bidi="vi-VN"/>
              </w:rPr>
              <w:t xml:space="preserve">tiến hành </w:t>
            </w:r>
            <w:r w:rsidRPr="00A93608">
              <w:rPr>
                <w:iCs/>
                <w:sz w:val="26"/>
                <w:szCs w:val="26"/>
              </w:rPr>
              <w:t>k</w:t>
            </w:r>
            <w:r w:rsidRPr="00A93608">
              <w:rPr>
                <w:iCs/>
                <w:sz w:val="26"/>
                <w:szCs w:val="26"/>
                <w:lang w:val="vi-VN"/>
              </w:rPr>
              <w:t>iểm tra tính hợp lệ của hồ sơ</w:t>
            </w:r>
            <w:r w:rsidRPr="00A93608">
              <w:rPr>
                <w:sz w:val="26"/>
                <w:szCs w:val="26"/>
                <w:lang w:bidi="vi-VN"/>
              </w:rPr>
              <w:t>;</w:t>
            </w:r>
          </w:p>
          <w:p w14:paraId="5020983F" w14:textId="46D3EC8F" w:rsidR="00C77C33" w:rsidRPr="00A93608" w:rsidRDefault="00C77C33" w:rsidP="0063570E">
            <w:pPr>
              <w:pStyle w:val="ListParagraph"/>
              <w:widowControl w:val="0"/>
              <w:spacing w:before="120" w:after="120"/>
              <w:ind w:left="0"/>
              <w:jc w:val="both"/>
              <w:rPr>
                <w:iCs/>
                <w:sz w:val="26"/>
                <w:szCs w:val="26"/>
              </w:rPr>
            </w:pPr>
            <w:r w:rsidRPr="00A93608">
              <w:rPr>
                <w:sz w:val="26"/>
                <w:szCs w:val="26"/>
              </w:rPr>
              <w:t xml:space="preserve">- </w:t>
            </w:r>
            <w:r w:rsidRPr="00A93608">
              <w:rPr>
                <w:sz w:val="26"/>
                <w:szCs w:val="26"/>
                <w:lang w:val="vi-VN"/>
              </w:rPr>
              <w:t>Đối với các hồ sơ không</w:t>
            </w:r>
            <w:r w:rsidRPr="00A93608">
              <w:rPr>
                <w:sz w:val="26"/>
                <w:szCs w:val="26"/>
              </w:rPr>
              <w:t xml:space="preserve"> đầy đủ, không</w:t>
            </w:r>
            <w:r w:rsidRPr="00A93608">
              <w:rPr>
                <w:sz w:val="26"/>
                <w:szCs w:val="26"/>
                <w:lang w:val="vi-VN"/>
              </w:rPr>
              <w:t xml:space="preserve"> hợp lệ</w:t>
            </w:r>
            <w:r w:rsidRPr="00A93608">
              <w:rPr>
                <w:sz w:val="26"/>
                <w:szCs w:val="26"/>
              </w:rPr>
              <w:t xml:space="preserve">, trong thời gian 05 ngày </w:t>
            </w:r>
            <w:r w:rsidRPr="00A93608">
              <w:rPr>
                <w:sz w:val="26"/>
                <w:szCs w:val="26"/>
              </w:rPr>
              <w:lastRenderedPageBreak/>
              <w:t xml:space="preserve">làm việc kể từ ngày nhận hồ sơ, </w:t>
            </w:r>
            <w:r w:rsidR="004C0F05" w:rsidRPr="00A93608">
              <w:rPr>
                <w:sz w:val="26"/>
                <w:szCs w:val="26"/>
              </w:rPr>
              <w:t>UBND cấp tỉnh hoặc cơ quan, đơn vị được UBND cấp tỉnh phân cấp/ủy quyền</w:t>
            </w:r>
            <w:r w:rsidRPr="00A93608">
              <w:rPr>
                <w:sz w:val="26"/>
                <w:szCs w:val="26"/>
              </w:rPr>
              <w:t xml:space="preserve"> </w:t>
            </w:r>
            <w:r w:rsidRPr="00A93608">
              <w:rPr>
                <w:sz w:val="26"/>
                <w:szCs w:val="26"/>
                <w:lang w:val="vi-VN"/>
              </w:rPr>
              <w:t xml:space="preserve">thông báo bằng văn bản để tổ chức </w:t>
            </w:r>
            <w:r w:rsidRPr="00A93608">
              <w:rPr>
                <w:sz w:val="26"/>
                <w:szCs w:val="26"/>
              </w:rPr>
              <w:t>chủ trì, chủ nhiệm nhiệm vụ bổ sung, hoàn thiện;</w:t>
            </w:r>
          </w:p>
          <w:p w14:paraId="0D7D83B4" w14:textId="44B68559" w:rsidR="00C77C33" w:rsidRPr="00A93608" w:rsidRDefault="00C77C33" w:rsidP="0063570E">
            <w:pPr>
              <w:pStyle w:val="ListParagraph"/>
              <w:widowControl w:val="0"/>
              <w:spacing w:before="120" w:after="120"/>
              <w:ind w:left="0"/>
              <w:jc w:val="both"/>
              <w:rPr>
                <w:sz w:val="26"/>
                <w:szCs w:val="26"/>
                <w:lang w:bidi="vi-VN"/>
              </w:rPr>
            </w:pPr>
            <w:r w:rsidRPr="00A93608">
              <w:rPr>
                <w:sz w:val="26"/>
                <w:szCs w:val="26"/>
              </w:rPr>
              <w:t xml:space="preserve">- Trong thời gian 15 ngày kể khi nhận được thông báo của </w:t>
            </w:r>
            <w:r w:rsidR="004C0F05" w:rsidRPr="00A93608">
              <w:rPr>
                <w:sz w:val="26"/>
                <w:szCs w:val="26"/>
              </w:rPr>
              <w:t>UBND cấp tỉnh hoặc cơ quan, đơn vị được UBND cấp tỉnh phân cấp/ủy quyền</w:t>
            </w:r>
            <w:r w:rsidRPr="00A93608">
              <w:rPr>
                <w:iCs/>
                <w:sz w:val="26"/>
                <w:szCs w:val="26"/>
                <w:lang w:val="da-DK"/>
              </w:rPr>
              <w:t>, tổ chức chủ trì phải bổ sung, hoàn thiện hồ sơ;</w:t>
            </w:r>
          </w:p>
          <w:p w14:paraId="23324990" w14:textId="652A09DD" w:rsidR="00C77C33" w:rsidRPr="00A93608" w:rsidRDefault="00C77C33" w:rsidP="0063570E">
            <w:pPr>
              <w:pStyle w:val="ListParagraph"/>
              <w:widowControl w:val="0"/>
              <w:spacing w:before="120" w:after="120"/>
              <w:ind w:left="0"/>
              <w:jc w:val="both"/>
              <w:rPr>
                <w:sz w:val="26"/>
                <w:szCs w:val="26"/>
                <w:lang w:bidi="vi-VN"/>
              </w:rPr>
            </w:pPr>
            <w:r w:rsidRPr="00A93608">
              <w:rPr>
                <w:spacing w:val="-2"/>
                <w:sz w:val="26"/>
                <w:szCs w:val="26"/>
              </w:rPr>
              <w:t xml:space="preserve">- Trong thời hạn </w:t>
            </w:r>
            <w:r w:rsidRPr="00A93608">
              <w:rPr>
                <w:spacing w:val="-2"/>
                <w:sz w:val="26"/>
                <w:szCs w:val="26"/>
              </w:rPr>
              <w:lastRenderedPageBreak/>
              <w:t xml:space="preserve">không quá 30 ngày kể từ khi nhận được hồ sơ đầy đủ, </w:t>
            </w:r>
            <w:r w:rsidRPr="00A93608">
              <w:rPr>
                <w:iCs/>
                <w:sz w:val="26"/>
                <w:szCs w:val="26"/>
                <w:lang w:val="da-DK"/>
              </w:rPr>
              <w:t>hợp</w:t>
            </w:r>
            <w:r w:rsidRPr="00A93608">
              <w:rPr>
                <w:spacing w:val="-2"/>
                <w:sz w:val="26"/>
                <w:szCs w:val="26"/>
              </w:rPr>
              <w:t xml:space="preserve"> lệ</w:t>
            </w:r>
            <w:r w:rsidRPr="00A93608">
              <w:rPr>
                <w:spacing w:val="-2"/>
                <w:sz w:val="26"/>
                <w:szCs w:val="26"/>
                <w:lang w:val="vi-VN"/>
              </w:rPr>
              <w:t>,</w:t>
            </w:r>
            <w:r w:rsidRPr="00A93608">
              <w:rPr>
                <w:sz w:val="26"/>
                <w:szCs w:val="26"/>
              </w:rPr>
              <w:t xml:space="preserve"> </w:t>
            </w:r>
            <w:r w:rsidR="004C0F05" w:rsidRPr="00A93608">
              <w:rPr>
                <w:sz w:val="26"/>
                <w:szCs w:val="26"/>
              </w:rPr>
              <w:t>UBND cấp tỉnh hoặc cơ quan, đơn vị được UBND cấp tỉnh phân cấp/ủy quyền</w:t>
            </w:r>
            <w:r w:rsidRPr="00A93608">
              <w:rPr>
                <w:sz w:val="26"/>
                <w:szCs w:val="26"/>
              </w:rPr>
              <w:t xml:space="preserve"> </w:t>
            </w:r>
            <w:r w:rsidRPr="00A93608">
              <w:rPr>
                <w:iCs/>
                <w:sz w:val="26"/>
                <w:szCs w:val="26"/>
                <w:lang w:val="da-DK"/>
              </w:rPr>
              <w:t xml:space="preserve">phải thành lập </w:t>
            </w:r>
            <w:bookmarkStart w:id="4" w:name="_Hlk187059964"/>
            <w:r w:rsidRPr="00A93608">
              <w:rPr>
                <w:sz w:val="26"/>
                <w:szCs w:val="26"/>
              </w:rPr>
              <w:t>Hội đồng tư vấn đánh giá nghiệm thu kết quả thực hiện nhiệm vụ khoa học và công nghệ cấp tỉnh</w:t>
            </w:r>
            <w:bookmarkEnd w:id="4"/>
            <w:r w:rsidRPr="00A93608">
              <w:rPr>
                <w:sz w:val="26"/>
                <w:szCs w:val="26"/>
              </w:rPr>
              <w:t>;</w:t>
            </w:r>
          </w:p>
          <w:p w14:paraId="5B3CE37D" w14:textId="5CCC4B6F" w:rsidR="00C77C33" w:rsidRPr="00A93608" w:rsidRDefault="00C77C33" w:rsidP="0063570E">
            <w:pPr>
              <w:pStyle w:val="ListParagraph"/>
              <w:widowControl w:val="0"/>
              <w:spacing w:before="120" w:after="120"/>
              <w:ind w:left="0"/>
              <w:jc w:val="both"/>
              <w:rPr>
                <w:sz w:val="26"/>
                <w:szCs w:val="26"/>
              </w:rPr>
            </w:pPr>
            <w:r w:rsidRPr="00A93608">
              <w:rPr>
                <w:spacing w:val="-4"/>
                <w:sz w:val="26"/>
                <w:szCs w:val="26"/>
              </w:rPr>
              <w:t>- Trường hợp kết quả nhiệm vụ được đánh giá xếp loại ở mức “Đạt” trở lên:</w:t>
            </w:r>
            <w:r w:rsidRPr="00A93608">
              <w:rPr>
                <w:sz w:val="26"/>
                <w:szCs w:val="26"/>
              </w:rPr>
              <w:t xml:space="preserve"> Trong thời hạn 30 ngày kể từ ngày họp </w:t>
            </w:r>
            <w:r w:rsidRPr="00A93608">
              <w:rPr>
                <w:sz w:val="26"/>
                <w:szCs w:val="26"/>
                <w:lang w:val="vi-VN"/>
              </w:rPr>
              <w:t>Hội đồng nghiệm thu</w:t>
            </w:r>
            <w:r w:rsidRPr="00A93608">
              <w:rPr>
                <w:sz w:val="26"/>
                <w:szCs w:val="26"/>
              </w:rPr>
              <w:t xml:space="preserve">, tổ chức chủ </w:t>
            </w:r>
            <w:r w:rsidRPr="00A93608">
              <w:rPr>
                <w:sz w:val="26"/>
                <w:szCs w:val="26"/>
              </w:rPr>
              <w:lastRenderedPageBreak/>
              <w:t xml:space="preserve">trì và chủ nhiệm nhiệm vụ lập báo cáo về việc hoàn thiện hồ sơ đánh giá, nghiệm thu, hoàn thiện báo cáo tổng hợp, báo cáo tóm tắt, các sản phẩm, các tài liệu liên quan theo kết luận của Hội đồng nghiệm thu và nộp về </w:t>
            </w:r>
            <w:r w:rsidR="004C0F05" w:rsidRPr="00A93608">
              <w:rPr>
                <w:sz w:val="26"/>
                <w:szCs w:val="26"/>
              </w:rPr>
              <w:t>UBND cấp tỉnh hoặc cơ quan, đơn vị được UBND cấp tỉnh phân cấp/ủy quyền</w:t>
            </w:r>
            <w:r w:rsidRPr="00A93608">
              <w:rPr>
                <w:sz w:val="26"/>
                <w:szCs w:val="26"/>
              </w:rPr>
              <w:t>;</w:t>
            </w:r>
          </w:p>
          <w:p w14:paraId="3F745422" w14:textId="2F7964E3" w:rsidR="00C77C33" w:rsidRPr="00A93608" w:rsidRDefault="00C77C33" w:rsidP="0063570E">
            <w:pPr>
              <w:spacing w:before="120" w:after="120"/>
              <w:contextualSpacing/>
              <w:jc w:val="both"/>
              <w:rPr>
                <w:rFonts w:ascii="Times New Roman" w:hAnsi="Times New Roman" w:cs="Times New Roman"/>
                <w:b/>
                <w:color w:val="auto"/>
                <w:sz w:val="26"/>
                <w:szCs w:val="26"/>
              </w:rPr>
            </w:pPr>
            <w:r w:rsidRPr="00A93608">
              <w:rPr>
                <w:rFonts w:ascii="Times New Roman" w:hAnsi="Times New Roman" w:cs="Times New Roman"/>
                <w:color w:val="auto"/>
                <w:spacing w:val="-2"/>
                <w:sz w:val="26"/>
                <w:szCs w:val="26"/>
              </w:rPr>
              <w:t xml:space="preserve">- Đối với nhiệm vụ xếp loại ở mức “Không đạt”: </w:t>
            </w:r>
            <w:r w:rsidR="004C0F05" w:rsidRPr="00A93608">
              <w:rPr>
                <w:rFonts w:ascii="Times New Roman" w:hAnsi="Times New Roman" w:cs="Times New Roman"/>
                <w:color w:val="auto"/>
                <w:sz w:val="26"/>
                <w:szCs w:val="26"/>
              </w:rPr>
              <w:t xml:space="preserve">UBND cấp tỉnh hoặc cơ quan, đơn vị được UBND cấp </w:t>
            </w:r>
            <w:r w:rsidR="004C0F05" w:rsidRPr="00A93608">
              <w:rPr>
                <w:rFonts w:ascii="Times New Roman" w:hAnsi="Times New Roman" w:cs="Times New Roman"/>
                <w:color w:val="auto"/>
                <w:sz w:val="26"/>
                <w:szCs w:val="26"/>
              </w:rPr>
              <w:lastRenderedPageBreak/>
              <w:t>tỉnh phân cấp/ủy quyền</w:t>
            </w:r>
            <w:r w:rsidRPr="00A93608">
              <w:rPr>
                <w:rFonts w:ascii="Times New Roman" w:hAnsi="Times New Roman" w:cs="Times New Roman"/>
                <w:bCs/>
                <w:color w:val="auto"/>
                <w:spacing w:val="-2"/>
                <w:sz w:val="26"/>
                <w:szCs w:val="26"/>
              </w:rPr>
              <w:t xml:space="preserve"> </w:t>
            </w:r>
            <w:r w:rsidRPr="00A93608">
              <w:rPr>
                <w:rFonts w:ascii="Times New Roman" w:hAnsi="Times New Roman" w:cs="Times New Roman"/>
                <w:color w:val="auto"/>
                <w:spacing w:val="-2"/>
                <w:sz w:val="26"/>
                <w:szCs w:val="26"/>
              </w:rPr>
              <w:t>chủ trì, phối hợp với các đơn vị có liên quan tiến</w:t>
            </w:r>
            <w:r w:rsidRPr="00A93608">
              <w:rPr>
                <w:rFonts w:ascii="Times New Roman" w:hAnsi="Times New Roman" w:cs="Times New Roman"/>
                <w:color w:val="auto"/>
                <w:spacing w:val="-2"/>
                <w:sz w:val="26"/>
                <w:szCs w:val="26"/>
                <w:lang w:val="vi-VN"/>
              </w:rPr>
              <w:t xml:space="preserve"> hành </w:t>
            </w:r>
            <w:r w:rsidRPr="00A93608">
              <w:rPr>
                <w:rFonts w:ascii="Times New Roman" w:hAnsi="Times New Roman" w:cs="Times New Roman"/>
                <w:color w:val="auto"/>
                <w:spacing w:val="-2"/>
                <w:sz w:val="26"/>
                <w:szCs w:val="26"/>
              </w:rPr>
              <w:t>xử</w:t>
            </w:r>
            <w:r w:rsidRPr="00A93608">
              <w:rPr>
                <w:rFonts w:ascii="Times New Roman" w:hAnsi="Times New Roman" w:cs="Times New Roman"/>
                <w:color w:val="auto"/>
                <w:spacing w:val="-2"/>
                <w:sz w:val="26"/>
                <w:szCs w:val="26"/>
                <w:lang w:val="vi-VN"/>
              </w:rPr>
              <w:t xml:space="preserve"> lý </w:t>
            </w:r>
            <w:r w:rsidRPr="00A93608">
              <w:rPr>
                <w:rFonts w:ascii="Times New Roman" w:hAnsi="Times New Roman" w:cs="Times New Roman"/>
                <w:color w:val="auto"/>
                <w:spacing w:val="-2"/>
                <w:sz w:val="26"/>
                <w:szCs w:val="26"/>
              </w:rPr>
              <w:t xml:space="preserve">theo quy định tại </w:t>
            </w:r>
            <w:r w:rsidRPr="00A93608">
              <w:rPr>
                <w:rFonts w:ascii="Times New Roman" w:hAnsi="Times New Roman" w:cs="Times New Roman"/>
                <w:color w:val="auto"/>
                <w:spacing w:val="-2"/>
                <w:sz w:val="26"/>
                <w:szCs w:val="26"/>
                <w:lang w:val="da-DK"/>
              </w:rPr>
              <w:t>Thông tư liên tịch số 27/2015/TTLT-BKHCN-BTC đối</w:t>
            </w:r>
            <w:r w:rsidRPr="00A93608">
              <w:rPr>
                <w:rFonts w:ascii="Times New Roman" w:hAnsi="Times New Roman" w:cs="Times New Roman"/>
                <w:color w:val="auto"/>
                <w:spacing w:val="-2"/>
                <w:sz w:val="26"/>
                <w:szCs w:val="26"/>
              </w:rPr>
              <w:t xml:space="preserve"> với nhiệm vụ không hoàn thành.</w:t>
            </w:r>
          </w:p>
        </w:tc>
        <w:tc>
          <w:tcPr>
            <w:tcW w:w="552" w:type="pct"/>
            <w:shd w:val="clear" w:color="auto" w:fill="FFFFFF"/>
          </w:tcPr>
          <w:p w14:paraId="6CCC73F1" w14:textId="5E5C359B" w:rsidR="00C77C33" w:rsidRPr="00A93608" w:rsidRDefault="005E48F9" w:rsidP="0063570E">
            <w:pPr>
              <w:spacing w:before="120" w:after="120"/>
              <w:contextualSpacing/>
              <w:jc w:val="both"/>
              <w:rPr>
                <w:rFonts w:ascii="Times New Roman" w:hAnsi="Times New Roman" w:cs="Times New Roman"/>
                <w:b/>
                <w:color w:val="auto"/>
                <w:sz w:val="26"/>
                <w:szCs w:val="26"/>
              </w:rPr>
            </w:pPr>
            <w:r w:rsidRPr="00A93608">
              <w:rPr>
                <w:rFonts w:ascii="Times New Roman" w:hAnsi="Times New Roman" w:cs="Times New Roman"/>
                <w:color w:val="auto"/>
                <w:sz w:val="26"/>
                <w:szCs w:val="26"/>
              </w:rPr>
              <w:lastRenderedPageBreak/>
              <w:t>UBND cấp tỉnh hoặc cơ quan, đơn vị được UBND cấp tỉnh phân cấp/ủy quyền</w:t>
            </w:r>
          </w:p>
        </w:tc>
        <w:tc>
          <w:tcPr>
            <w:tcW w:w="299" w:type="pct"/>
            <w:shd w:val="clear" w:color="auto" w:fill="FFFFFF"/>
          </w:tcPr>
          <w:p w14:paraId="7A88CB59" w14:textId="482BF8FC" w:rsidR="00C77C33" w:rsidRPr="00A93608" w:rsidRDefault="00C77C33" w:rsidP="0063570E">
            <w:pPr>
              <w:spacing w:before="120" w:after="120"/>
              <w:contextualSpacing/>
              <w:jc w:val="both"/>
              <w:rPr>
                <w:rFonts w:ascii="Times New Roman" w:hAnsi="Times New Roman" w:cs="Times New Roman"/>
                <w:b/>
                <w:color w:val="auto"/>
                <w:sz w:val="26"/>
                <w:szCs w:val="26"/>
              </w:rPr>
            </w:pPr>
            <w:r w:rsidRPr="00A93608">
              <w:rPr>
                <w:rFonts w:ascii="Times New Roman" w:hAnsi="Times New Roman" w:cs="Times New Roman"/>
                <w:bCs/>
                <w:color w:val="auto"/>
                <w:sz w:val="26"/>
                <w:szCs w:val="26"/>
              </w:rPr>
              <w:t>Không</w:t>
            </w:r>
          </w:p>
        </w:tc>
        <w:tc>
          <w:tcPr>
            <w:tcW w:w="980" w:type="pct"/>
            <w:shd w:val="clear" w:color="auto" w:fill="FFFFFF"/>
          </w:tcPr>
          <w:p w14:paraId="59FBAE6B" w14:textId="77777777" w:rsidR="00C77C33" w:rsidRPr="00A93608" w:rsidRDefault="00C77C33" w:rsidP="0063570E">
            <w:pPr>
              <w:spacing w:before="120" w:after="120"/>
              <w:jc w:val="both"/>
              <w:rPr>
                <w:rFonts w:ascii="Times New Roman" w:hAnsi="Times New Roman" w:cs="Times New Roman"/>
                <w:bCs/>
                <w:color w:val="auto"/>
                <w:sz w:val="26"/>
                <w:szCs w:val="26"/>
              </w:rPr>
            </w:pPr>
            <w:r w:rsidRPr="00A93608">
              <w:rPr>
                <w:rFonts w:ascii="Times New Roman" w:hAnsi="Times New Roman" w:cs="Times New Roman"/>
                <w:bCs/>
                <w:color w:val="auto"/>
                <w:sz w:val="26"/>
                <w:szCs w:val="26"/>
              </w:rPr>
              <w:t>- Luật khoa học và công nghệ ngày 18 tháng 6 năm 2013.</w:t>
            </w:r>
          </w:p>
          <w:p w14:paraId="275F14AA" w14:textId="77777777" w:rsidR="00C77C33" w:rsidRPr="00A93608" w:rsidRDefault="00C77C33" w:rsidP="0063570E">
            <w:pPr>
              <w:spacing w:before="120" w:after="120"/>
              <w:jc w:val="both"/>
              <w:rPr>
                <w:rFonts w:ascii="Times New Roman" w:hAnsi="Times New Roman" w:cs="Times New Roman"/>
                <w:bCs/>
                <w:color w:val="auto"/>
                <w:sz w:val="26"/>
                <w:szCs w:val="26"/>
              </w:rPr>
            </w:pPr>
            <w:r w:rsidRPr="00A93608">
              <w:rPr>
                <w:rFonts w:ascii="Times New Roman" w:hAnsi="Times New Roman" w:cs="Times New Roman"/>
                <w:bCs/>
                <w:color w:val="auto"/>
                <w:sz w:val="26"/>
                <w:szCs w:val="26"/>
              </w:rPr>
              <w:t>- Nghị định số 08/2014/NĐ-CP ngày 27 tháng 01 năm 2014 của Chính phủ quy định chi tiết và hướng dẫn thi hành một số điều của Luật khoa học và công nghệ.</w:t>
            </w:r>
          </w:p>
          <w:p w14:paraId="05A896C7" w14:textId="77777777" w:rsidR="00C77C33" w:rsidRPr="00A93608" w:rsidRDefault="00C77C33" w:rsidP="0063570E">
            <w:pPr>
              <w:spacing w:before="120" w:after="120"/>
              <w:jc w:val="both"/>
              <w:rPr>
                <w:rFonts w:ascii="Times New Roman" w:hAnsi="Times New Roman" w:cs="Times New Roman"/>
                <w:bCs/>
                <w:color w:val="auto"/>
                <w:sz w:val="26"/>
                <w:szCs w:val="26"/>
              </w:rPr>
            </w:pPr>
            <w:r w:rsidRPr="00A93608">
              <w:rPr>
                <w:rFonts w:ascii="Times New Roman" w:hAnsi="Times New Roman" w:cs="Times New Roman"/>
                <w:bCs/>
                <w:color w:val="auto"/>
                <w:sz w:val="26"/>
                <w:szCs w:val="26"/>
              </w:rPr>
              <w:t xml:space="preserve">- Thông tư số 09/2024/TT-BKHCN ngày 27 tháng 12 năm 2024 của Bộ trưởng Bộ Khoa học và Công nghệ quy định quản lý nhiệm vụ khoa học và công nghệ cấp tỉnh, cấp cơ sở sử dụng ngân sách nhà </w:t>
            </w:r>
            <w:r w:rsidRPr="00A93608">
              <w:rPr>
                <w:rFonts w:ascii="Times New Roman" w:hAnsi="Times New Roman" w:cs="Times New Roman"/>
                <w:bCs/>
                <w:color w:val="auto"/>
                <w:sz w:val="26"/>
                <w:szCs w:val="26"/>
              </w:rPr>
              <w:lastRenderedPageBreak/>
              <w:t>nước.</w:t>
            </w:r>
          </w:p>
          <w:p w14:paraId="6CEE1DA0" w14:textId="2FACFBAE" w:rsidR="00C77C33" w:rsidRPr="00A93608" w:rsidRDefault="00C77C33" w:rsidP="0063570E">
            <w:pPr>
              <w:spacing w:before="120" w:after="120"/>
              <w:contextualSpacing/>
              <w:jc w:val="both"/>
              <w:rPr>
                <w:rFonts w:ascii="Times New Roman" w:hAnsi="Times New Roman" w:cs="Times New Roman"/>
                <w:b/>
                <w:color w:val="auto"/>
                <w:sz w:val="26"/>
                <w:szCs w:val="26"/>
              </w:rPr>
            </w:pPr>
            <w:r w:rsidRPr="00A93608">
              <w:rPr>
                <w:rFonts w:ascii="Times New Roman" w:hAnsi="Times New Roman" w:cs="Times New Roman"/>
                <w:bCs/>
                <w:color w:val="auto"/>
                <w:sz w:val="26"/>
                <w:szCs w:val="26"/>
              </w:rPr>
              <w:t>- Quyết định số 45/QĐ-BKHCN ngày 15 tháng 01 năm 2025 của Bộ trưởng Bộ Khoa học và Công nghệ về việc công bố thủ tục hành chính mới ban hành trong lĩnh vực hoạt động khoa học và công nghệ thuộc phạm vi chức năng quản lý của Bộ Khoa học và Công nghệ.</w:t>
            </w:r>
          </w:p>
        </w:tc>
        <w:tc>
          <w:tcPr>
            <w:tcW w:w="1793" w:type="pct"/>
            <w:shd w:val="clear" w:color="auto" w:fill="FFFFFF"/>
          </w:tcPr>
          <w:p w14:paraId="1A3FFC35" w14:textId="77777777" w:rsidR="00C77C33" w:rsidRPr="00A93608" w:rsidRDefault="00C77C33" w:rsidP="0063570E">
            <w:pPr>
              <w:spacing w:before="120" w:after="120"/>
              <w:ind w:left="-25"/>
              <w:jc w:val="both"/>
              <w:rPr>
                <w:rFonts w:ascii="Times New Roman" w:hAnsi="Times New Roman" w:cs="Times New Roman"/>
                <w:b/>
                <w:color w:val="auto"/>
                <w:sz w:val="26"/>
                <w:szCs w:val="26"/>
              </w:rPr>
            </w:pPr>
            <w:r w:rsidRPr="00A93608">
              <w:rPr>
                <w:rFonts w:ascii="Times New Roman" w:hAnsi="Times New Roman" w:cs="Times New Roman"/>
                <w:b/>
                <w:color w:val="auto"/>
                <w:sz w:val="26"/>
                <w:szCs w:val="26"/>
              </w:rPr>
              <w:lastRenderedPageBreak/>
              <w:t>1. Trình tự thực hiện TTHC</w:t>
            </w:r>
          </w:p>
          <w:p w14:paraId="23BB475C" w14:textId="77777777" w:rsidR="00C77C33" w:rsidRPr="00A93608" w:rsidRDefault="00C77C33" w:rsidP="0063570E">
            <w:pPr>
              <w:spacing w:before="120" w:after="120"/>
              <w:ind w:left="-25"/>
              <w:jc w:val="both"/>
              <w:rPr>
                <w:rFonts w:ascii="Times New Roman" w:hAnsi="Times New Roman" w:cs="Times New Roman"/>
                <w:bCs/>
                <w:i/>
                <w:color w:val="auto"/>
                <w:sz w:val="26"/>
                <w:szCs w:val="26"/>
              </w:rPr>
            </w:pPr>
            <w:r w:rsidRPr="00A93608">
              <w:rPr>
                <w:rFonts w:ascii="Times New Roman" w:hAnsi="Times New Roman" w:cs="Times New Roman"/>
                <w:bCs/>
                <w:i/>
                <w:color w:val="auto"/>
                <w:sz w:val="26"/>
                <w:szCs w:val="26"/>
              </w:rPr>
              <w:t>Bước 1: Nộp hồ sơ đánh giá, nghiệm thu nhiệm vụ khoa học và công nghệ cấp tỉnh</w:t>
            </w:r>
          </w:p>
          <w:p w14:paraId="62AD608C" w14:textId="071DC133" w:rsidR="00C77C33" w:rsidRPr="00A93608" w:rsidRDefault="00C77C33" w:rsidP="0063570E">
            <w:pPr>
              <w:spacing w:before="120" w:after="120"/>
              <w:ind w:left="-25"/>
              <w:jc w:val="both"/>
              <w:rPr>
                <w:rFonts w:ascii="Times New Roman" w:hAnsi="Times New Roman" w:cs="Times New Roman"/>
                <w:bCs/>
                <w:color w:val="auto"/>
                <w:sz w:val="26"/>
                <w:szCs w:val="26"/>
              </w:rPr>
            </w:pPr>
            <w:r w:rsidRPr="00A93608">
              <w:rPr>
                <w:rFonts w:ascii="Times New Roman" w:hAnsi="Times New Roman" w:cs="Times New Roman"/>
                <w:bCs/>
                <w:color w:val="auto"/>
                <w:sz w:val="26"/>
                <w:szCs w:val="26"/>
              </w:rPr>
              <w:t xml:space="preserve">Tổ chức, cá nhân nộp hồ sơ đánh giá, nghiệm thu nhiệm vụ cấp tỉnh sử dụng ngân sách nhà nước về </w:t>
            </w:r>
            <w:r w:rsidR="005E48F9" w:rsidRPr="00A93608">
              <w:rPr>
                <w:rFonts w:ascii="Times New Roman" w:hAnsi="Times New Roman" w:cs="Times New Roman"/>
                <w:color w:val="auto"/>
                <w:sz w:val="26"/>
                <w:szCs w:val="26"/>
              </w:rPr>
              <w:t>UBND cấp tỉnh hoặc cơ quan, đơn vị được UBND cấp tỉnh phân cấp/ủy quyền</w:t>
            </w:r>
            <w:r w:rsidRPr="00A93608">
              <w:rPr>
                <w:rFonts w:ascii="Times New Roman" w:hAnsi="Times New Roman" w:cs="Times New Roman"/>
                <w:bCs/>
                <w:color w:val="auto"/>
                <w:sz w:val="26"/>
                <w:szCs w:val="26"/>
              </w:rPr>
              <w:t xml:space="preserve"> .</w:t>
            </w:r>
          </w:p>
          <w:p w14:paraId="305DC9AE" w14:textId="77777777" w:rsidR="00C77C33" w:rsidRPr="00A93608" w:rsidRDefault="00C77C33" w:rsidP="0063570E">
            <w:pPr>
              <w:spacing w:before="120" w:after="120"/>
              <w:ind w:left="-25"/>
              <w:jc w:val="both"/>
              <w:rPr>
                <w:rFonts w:ascii="Times New Roman" w:hAnsi="Times New Roman" w:cs="Times New Roman"/>
                <w:bCs/>
                <w:i/>
                <w:color w:val="auto"/>
                <w:sz w:val="26"/>
                <w:szCs w:val="26"/>
              </w:rPr>
            </w:pPr>
            <w:r w:rsidRPr="00A93608">
              <w:rPr>
                <w:rFonts w:ascii="Times New Roman" w:hAnsi="Times New Roman" w:cs="Times New Roman"/>
                <w:bCs/>
                <w:i/>
                <w:color w:val="auto"/>
                <w:sz w:val="26"/>
                <w:szCs w:val="26"/>
              </w:rPr>
              <w:t>Bước 2: Kiểm tra tính hợp lệ của hồ sơ đánh giá, nghiệm thu nhiệm vụ khoa học và công nghệ cấp tỉnh</w:t>
            </w:r>
          </w:p>
          <w:p w14:paraId="190EE47E" w14:textId="79C13D84" w:rsidR="00C77C33" w:rsidRPr="00A93608" w:rsidRDefault="005E48F9" w:rsidP="0063570E">
            <w:pPr>
              <w:spacing w:before="120" w:after="120"/>
              <w:ind w:left="-25"/>
              <w:jc w:val="both"/>
              <w:rPr>
                <w:rFonts w:ascii="Times New Roman" w:hAnsi="Times New Roman" w:cs="Times New Roman"/>
                <w:bCs/>
                <w:color w:val="auto"/>
                <w:sz w:val="26"/>
                <w:szCs w:val="26"/>
              </w:rPr>
            </w:pPr>
            <w:r w:rsidRPr="00A93608">
              <w:rPr>
                <w:rFonts w:ascii="Times New Roman" w:hAnsi="Times New Roman" w:cs="Times New Roman"/>
                <w:color w:val="auto"/>
                <w:sz w:val="26"/>
                <w:szCs w:val="26"/>
              </w:rPr>
              <w:t>UBND cấp tỉnh hoặc cơ quan, đơn vị được UBND cấp tỉnh phân cấp/ủy quyền</w:t>
            </w:r>
            <w:r w:rsidRPr="00A93608">
              <w:rPr>
                <w:rFonts w:ascii="Times New Roman" w:hAnsi="Times New Roman" w:cs="Times New Roman"/>
                <w:bCs/>
                <w:color w:val="auto"/>
                <w:sz w:val="26"/>
                <w:szCs w:val="26"/>
              </w:rPr>
              <w:t xml:space="preserve"> </w:t>
            </w:r>
            <w:r w:rsidR="00C77C33" w:rsidRPr="00A93608">
              <w:rPr>
                <w:rFonts w:ascii="Times New Roman" w:hAnsi="Times New Roman" w:cs="Times New Roman"/>
                <w:bCs/>
                <w:color w:val="auto"/>
                <w:sz w:val="26"/>
                <w:szCs w:val="26"/>
              </w:rPr>
              <w:t>tiến hành kiểm tra tính hợp lệ của hồ sơ.</w:t>
            </w:r>
          </w:p>
          <w:p w14:paraId="6B6065CD" w14:textId="77777777" w:rsidR="00C77C33" w:rsidRPr="00A93608" w:rsidRDefault="00C77C33" w:rsidP="0063570E">
            <w:pPr>
              <w:spacing w:before="120" w:after="120"/>
              <w:ind w:left="-25"/>
              <w:jc w:val="both"/>
              <w:rPr>
                <w:rFonts w:ascii="Times New Roman" w:hAnsi="Times New Roman" w:cs="Times New Roman"/>
                <w:bCs/>
                <w:i/>
                <w:color w:val="auto"/>
                <w:sz w:val="26"/>
                <w:szCs w:val="26"/>
              </w:rPr>
            </w:pPr>
            <w:r w:rsidRPr="00A93608">
              <w:rPr>
                <w:rFonts w:ascii="Times New Roman" w:hAnsi="Times New Roman" w:cs="Times New Roman"/>
                <w:bCs/>
                <w:i/>
                <w:color w:val="auto"/>
                <w:sz w:val="26"/>
                <w:szCs w:val="26"/>
              </w:rPr>
              <w:t>Bước 3: Thành lập Hội đồng tư vấn đánh giá nghiệm thu kết quả thực hiện nhiệm vụ khoa học và công nghệ cấp tỉnh</w:t>
            </w:r>
          </w:p>
          <w:p w14:paraId="6C2E53DE" w14:textId="725CC91D" w:rsidR="00C77C33" w:rsidRPr="00A93608" w:rsidRDefault="005A5C00" w:rsidP="0063570E">
            <w:pPr>
              <w:spacing w:before="120" w:after="120"/>
              <w:ind w:left="-25"/>
              <w:jc w:val="both"/>
              <w:rPr>
                <w:rFonts w:ascii="Times New Roman" w:hAnsi="Times New Roman" w:cs="Times New Roman"/>
                <w:bCs/>
                <w:color w:val="auto"/>
                <w:sz w:val="26"/>
                <w:szCs w:val="26"/>
              </w:rPr>
            </w:pPr>
            <w:r w:rsidRPr="00A93608">
              <w:rPr>
                <w:rFonts w:ascii="Times New Roman" w:hAnsi="Times New Roman" w:cs="Times New Roman"/>
                <w:color w:val="auto"/>
                <w:sz w:val="26"/>
                <w:szCs w:val="26"/>
                <w:lang w:val="vi-VN"/>
              </w:rPr>
              <w:t xml:space="preserve">Chủ tịch UBND cấp tỉnh </w:t>
            </w:r>
            <w:r w:rsidRPr="00A93608">
              <w:rPr>
                <w:rFonts w:ascii="Times New Roman" w:hAnsi="Times New Roman" w:cs="Times New Roman"/>
                <w:iCs/>
                <w:color w:val="auto"/>
                <w:sz w:val="26"/>
                <w:szCs w:val="26"/>
                <w:lang w:val="da-DK"/>
              </w:rPr>
              <w:t xml:space="preserve">hoặc người được </w:t>
            </w:r>
            <w:r w:rsidRPr="00A93608">
              <w:rPr>
                <w:rFonts w:ascii="Times New Roman" w:hAnsi="Times New Roman" w:cs="Times New Roman"/>
                <w:color w:val="auto"/>
                <w:sz w:val="26"/>
                <w:szCs w:val="26"/>
                <w:lang w:val="vi-VN"/>
              </w:rPr>
              <w:t>Chủ tịch</w:t>
            </w:r>
            <w:r w:rsidRPr="00A93608">
              <w:rPr>
                <w:rFonts w:ascii="Times New Roman" w:hAnsi="Times New Roman" w:cs="Times New Roman"/>
                <w:iCs/>
                <w:color w:val="auto"/>
                <w:sz w:val="26"/>
                <w:szCs w:val="26"/>
                <w:lang w:val="da-DK"/>
              </w:rPr>
              <w:t xml:space="preserve"> </w:t>
            </w:r>
            <w:r w:rsidRPr="00A93608">
              <w:rPr>
                <w:rFonts w:ascii="Times New Roman" w:hAnsi="Times New Roman" w:cs="Times New Roman"/>
                <w:iCs/>
                <w:color w:val="auto"/>
                <w:sz w:val="26"/>
                <w:szCs w:val="26"/>
                <w:lang w:val="vi-VN"/>
              </w:rPr>
              <w:lastRenderedPageBreak/>
              <w:t>UBND</w:t>
            </w:r>
            <w:r w:rsidRPr="00A93608">
              <w:rPr>
                <w:rFonts w:ascii="Times New Roman" w:hAnsi="Times New Roman" w:cs="Times New Roman"/>
                <w:iCs/>
                <w:color w:val="auto"/>
                <w:sz w:val="26"/>
                <w:szCs w:val="26"/>
                <w:lang w:val="da-DK"/>
              </w:rPr>
              <w:t xml:space="preserve"> cấp tỉnh phân cấp/ủy quyền</w:t>
            </w:r>
            <w:r w:rsidRPr="00A93608">
              <w:rPr>
                <w:rFonts w:ascii="Times New Roman" w:hAnsi="Times New Roman" w:cs="Times New Roman"/>
                <w:iCs/>
                <w:color w:val="auto"/>
                <w:sz w:val="26"/>
                <w:szCs w:val="26"/>
                <w:lang w:val="vi-VN"/>
              </w:rPr>
              <w:t xml:space="preserve"> </w:t>
            </w:r>
            <w:r w:rsidR="00026567" w:rsidRPr="00A93608">
              <w:rPr>
                <w:rFonts w:ascii="Times New Roman" w:hAnsi="Times New Roman" w:cs="Times New Roman"/>
                <w:bCs/>
                <w:color w:val="auto"/>
                <w:sz w:val="26"/>
                <w:szCs w:val="26"/>
              </w:rPr>
              <w:t xml:space="preserve"> </w:t>
            </w:r>
            <w:r w:rsidR="00C77C33" w:rsidRPr="00A93608">
              <w:rPr>
                <w:rFonts w:ascii="Times New Roman" w:hAnsi="Times New Roman" w:cs="Times New Roman"/>
                <w:bCs/>
                <w:color w:val="auto"/>
                <w:sz w:val="26"/>
                <w:szCs w:val="26"/>
              </w:rPr>
              <w:t>quyết định thành lập, quy định số lượng thành viên, chức năng, nhiệm vụ của Hội đồng khoa học và công nghệ chuyên ngành đánh giá, nghiệm thu kết quả thực hiện nhiệm vụ khoa học và công nghệ cấp tỉnh (sau đây viết tắt là Hội đồng nghiệm thu) và Tổ chuyên gia (được thành lập trong trường hợp nhiệm vụ có sản phẩm đo kiểm được).</w:t>
            </w:r>
          </w:p>
          <w:p w14:paraId="48546927" w14:textId="77777777" w:rsidR="00C77C33" w:rsidRPr="00A93608" w:rsidRDefault="00C77C33" w:rsidP="0063570E">
            <w:pPr>
              <w:spacing w:before="120" w:after="120"/>
              <w:ind w:left="-25"/>
              <w:jc w:val="both"/>
              <w:rPr>
                <w:rFonts w:ascii="Times New Roman" w:hAnsi="Times New Roman" w:cs="Times New Roman"/>
                <w:bCs/>
                <w:i/>
                <w:color w:val="auto"/>
                <w:sz w:val="26"/>
                <w:szCs w:val="26"/>
              </w:rPr>
            </w:pPr>
            <w:r w:rsidRPr="00A93608">
              <w:rPr>
                <w:rFonts w:ascii="Times New Roman" w:hAnsi="Times New Roman" w:cs="Times New Roman"/>
                <w:bCs/>
                <w:i/>
                <w:color w:val="auto"/>
                <w:sz w:val="26"/>
                <w:szCs w:val="26"/>
              </w:rPr>
              <w:t>Bước 4: Tổ chức họp Hội đồng tư vấn đánh giá, nghiệm thu và Tổ chuyên gia (nếu có) kết quả thực hiện nhiệm vụ khoa học và công nghệ cấp tỉnh</w:t>
            </w:r>
          </w:p>
          <w:p w14:paraId="6952E098" w14:textId="1072F5F4" w:rsidR="00C77C33" w:rsidRPr="00A93608" w:rsidRDefault="00C77C33" w:rsidP="0063570E">
            <w:pPr>
              <w:spacing w:before="120" w:after="120"/>
              <w:ind w:left="-25"/>
              <w:jc w:val="both"/>
              <w:rPr>
                <w:rFonts w:ascii="Times New Roman" w:hAnsi="Times New Roman" w:cs="Times New Roman"/>
                <w:bCs/>
                <w:color w:val="auto"/>
                <w:sz w:val="26"/>
                <w:szCs w:val="26"/>
              </w:rPr>
            </w:pPr>
            <w:r w:rsidRPr="00A93608">
              <w:rPr>
                <w:rFonts w:ascii="Times New Roman" w:hAnsi="Times New Roman" w:cs="Times New Roman"/>
                <w:bCs/>
                <w:color w:val="auto"/>
                <w:sz w:val="26"/>
                <w:szCs w:val="26"/>
              </w:rPr>
              <w:t xml:space="preserve">- </w:t>
            </w:r>
            <w:r w:rsidR="00026567" w:rsidRPr="00A93608">
              <w:rPr>
                <w:rFonts w:ascii="Times New Roman" w:hAnsi="Times New Roman" w:cs="Times New Roman"/>
                <w:color w:val="auto"/>
                <w:sz w:val="26"/>
                <w:szCs w:val="26"/>
              </w:rPr>
              <w:t>UBND cấp tỉnh hoặc cơ quan, đơn vị được UBND cấp tỉnh phân cấp/ủy quyền</w:t>
            </w:r>
            <w:r w:rsidRPr="00A93608">
              <w:rPr>
                <w:rFonts w:ascii="Times New Roman" w:hAnsi="Times New Roman" w:cs="Times New Roman"/>
                <w:bCs/>
                <w:color w:val="auto"/>
                <w:sz w:val="26"/>
                <w:szCs w:val="26"/>
              </w:rPr>
              <w:t xml:space="preserve"> tổ chức họp Hội đồng tư vấn đánh giá nghiệm thu kết quả thực hiện nhiệm vụ khoa học và công nghệ cấp tỉnh đối với những hồ sơ hợp lệ.</w:t>
            </w:r>
          </w:p>
          <w:p w14:paraId="2B7F28D9" w14:textId="72CB6AD1" w:rsidR="00C77C33" w:rsidRPr="00A93608" w:rsidRDefault="00C77C33" w:rsidP="0063570E">
            <w:pPr>
              <w:spacing w:before="120" w:after="120"/>
              <w:ind w:left="-25"/>
              <w:jc w:val="both"/>
              <w:rPr>
                <w:rFonts w:ascii="Times New Roman" w:hAnsi="Times New Roman" w:cs="Times New Roman"/>
                <w:bCs/>
                <w:color w:val="auto"/>
                <w:sz w:val="26"/>
                <w:szCs w:val="26"/>
              </w:rPr>
            </w:pPr>
            <w:r w:rsidRPr="00A93608">
              <w:rPr>
                <w:rFonts w:ascii="Times New Roman" w:hAnsi="Times New Roman" w:cs="Times New Roman"/>
                <w:bCs/>
                <w:color w:val="auto"/>
                <w:sz w:val="26"/>
                <w:szCs w:val="26"/>
              </w:rPr>
              <w:t xml:space="preserve">- Trên cơ sở kết luận của Hội đồng tư vấn đánh giá nghiệm thu kết quả thực hiện nhiệm vụ khoa học và công nghệ cấp tỉnh, ý kiến của chuyên gia tư vấn độc lập (nếu có) và báo cáo kết quả của đơn vị chức năng, </w:t>
            </w:r>
            <w:r w:rsidR="00026567" w:rsidRPr="00A93608">
              <w:rPr>
                <w:rFonts w:ascii="Times New Roman" w:hAnsi="Times New Roman" w:cs="Times New Roman"/>
                <w:color w:val="auto"/>
                <w:sz w:val="26"/>
                <w:szCs w:val="26"/>
              </w:rPr>
              <w:t>UBND cấp tỉnh hoặc cơ quan, đơn vị được UBND cấp tỉnh phân cấp/ủy quyền</w:t>
            </w:r>
            <w:r w:rsidR="00026567" w:rsidRPr="00A93608">
              <w:rPr>
                <w:rFonts w:ascii="Times New Roman" w:hAnsi="Times New Roman" w:cs="Times New Roman"/>
                <w:bCs/>
                <w:color w:val="auto"/>
                <w:sz w:val="26"/>
                <w:szCs w:val="26"/>
              </w:rPr>
              <w:t xml:space="preserve"> </w:t>
            </w:r>
            <w:r w:rsidRPr="00A93608">
              <w:rPr>
                <w:rFonts w:ascii="Times New Roman" w:hAnsi="Times New Roman" w:cs="Times New Roman"/>
                <w:bCs/>
                <w:color w:val="auto"/>
                <w:sz w:val="26"/>
                <w:szCs w:val="26"/>
              </w:rPr>
              <w:t>nghiệm thu, thanh lý hợp đồng thực hiện nhiệm vụ KH&amp;CN cấp tỉnh.</w:t>
            </w:r>
          </w:p>
          <w:p w14:paraId="6583C6C1" w14:textId="36456224" w:rsidR="00470041" w:rsidRPr="00A93608" w:rsidRDefault="00470041" w:rsidP="0063570E">
            <w:pPr>
              <w:spacing w:before="120" w:after="120"/>
              <w:ind w:left="-25"/>
              <w:jc w:val="both"/>
              <w:rPr>
                <w:rFonts w:ascii="Times New Roman" w:hAnsi="Times New Roman" w:cs="Times New Roman"/>
                <w:b/>
                <w:color w:val="auto"/>
                <w:sz w:val="26"/>
                <w:szCs w:val="26"/>
              </w:rPr>
            </w:pPr>
            <w:r w:rsidRPr="00A93608">
              <w:rPr>
                <w:rFonts w:ascii="Times New Roman" w:hAnsi="Times New Roman" w:cs="Times New Roman"/>
                <w:b/>
                <w:color w:val="auto"/>
                <w:sz w:val="26"/>
                <w:szCs w:val="26"/>
                <w:lang w:val="vi-VN"/>
              </w:rPr>
              <w:t>2</w:t>
            </w:r>
            <w:r w:rsidRPr="00A93608">
              <w:rPr>
                <w:rFonts w:ascii="Times New Roman" w:hAnsi="Times New Roman" w:cs="Times New Roman"/>
                <w:b/>
                <w:color w:val="auto"/>
                <w:sz w:val="26"/>
                <w:szCs w:val="26"/>
              </w:rPr>
              <w:t xml:space="preserve">. Cơ quan thực hiện TTHC: </w:t>
            </w:r>
            <w:r w:rsidR="00026567" w:rsidRPr="00A93608">
              <w:rPr>
                <w:rFonts w:ascii="Times New Roman" w:hAnsi="Times New Roman" w:cs="Times New Roman"/>
                <w:color w:val="auto"/>
                <w:sz w:val="26"/>
                <w:szCs w:val="26"/>
              </w:rPr>
              <w:t xml:space="preserve">UBND cấp tỉnh hoặc cơ quan, đơn vị được UBND cấp tỉnh phân </w:t>
            </w:r>
            <w:r w:rsidR="00026567" w:rsidRPr="00A93608">
              <w:rPr>
                <w:rFonts w:ascii="Times New Roman" w:hAnsi="Times New Roman" w:cs="Times New Roman"/>
                <w:color w:val="auto"/>
                <w:sz w:val="26"/>
                <w:szCs w:val="26"/>
              </w:rPr>
              <w:lastRenderedPageBreak/>
              <w:t>cấp/ủy quyền</w:t>
            </w:r>
          </w:p>
          <w:p w14:paraId="05F36C8E" w14:textId="27289EC9" w:rsidR="00C77C33" w:rsidRPr="00A93608" w:rsidRDefault="00470041" w:rsidP="0063570E">
            <w:pPr>
              <w:spacing w:before="120" w:after="120"/>
              <w:ind w:left="-25"/>
              <w:contextualSpacing/>
              <w:jc w:val="both"/>
              <w:rPr>
                <w:rFonts w:ascii="Times New Roman" w:hAnsi="Times New Roman" w:cs="Times New Roman"/>
                <w:b/>
                <w:color w:val="auto"/>
                <w:sz w:val="26"/>
                <w:szCs w:val="26"/>
              </w:rPr>
            </w:pPr>
            <w:r w:rsidRPr="00A93608">
              <w:rPr>
                <w:rFonts w:ascii="Times New Roman" w:hAnsi="Times New Roman" w:cs="Times New Roman"/>
                <w:b/>
                <w:color w:val="auto"/>
                <w:sz w:val="26"/>
                <w:szCs w:val="26"/>
              </w:rPr>
              <w:t xml:space="preserve">3. </w:t>
            </w:r>
            <w:r w:rsidR="00C77C33" w:rsidRPr="00A93608">
              <w:rPr>
                <w:rFonts w:ascii="Times New Roman" w:hAnsi="Times New Roman" w:cs="Times New Roman"/>
                <w:b/>
                <w:color w:val="auto"/>
                <w:sz w:val="26"/>
                <w:szCs w:val="26"/>
              </w:rPr>
              <w:t>Kết quả giải quyết TTHC:</w:t>
            </w:r>
            <w:r w:rsidR="00C77C33" w:rsidRPr="00A93608">
              <w:rPr>
                <w:rFonts w:ascii="Times New Roman" w:hAnsi="Times New Roman" w:cs="Times New Roman"/>
                <w:bCs/>
                <w:color w:val="auto"/>
                <w:sz w:val="26"/>
                <w:szCs w:val="26"/>
              </w:rPr>
              <w:t xml:space="preserve"> </w:t>
            </w:r>
            <w:r w:rsidR="00CA243D" w:rsidRPr="00A93608">
              <w:rPr>
                <w:rFonts w:ascii="Times New Roman" w:hAnsi="Times New Roman" w:cs="Times New Roman"/>
                <w:color w:val="auto"/>
                <w:sz w:val="26"/>
                <w:szCs w:val="26"/>
              </w:rPr>
              <w:t>Biên bản họp Hội đồng đánh giá, nghiệm thu cấp tỉnh.</w:t>
            </w:r>
            <w:r w:rsidR="00C77C33" w:rsidRPr="00A93608">
              <w:rPr>
                <w:rFonts w:ascii="Times New Roman" w:hAnsi="Times New Roman" w:cs="Times New Roman"/>
                <w:bCs/>
                <w:color w:val="auto"/>
                <w:sz w:val="26"/>
                <w:szCs w:val="26"/>
              </w:rPr>
              <w:t>.</w:t>
            </w:r>
          </w:p>
        </w:tc>
      </w:tr>
      <w:bookmarkEnd w:id="1"/>
      <w:bookmarkEnd w:id="2"/>
    </w:tbl>
    <w:p w14:paraId="7B44BA5B" w14:textId="77777777" w:rsidR="00A12686" w:rsidRPr="00A93608" w:rsidRDefault="00A12686" w:rsidP="0063570E">
      <w:pPr>
        <w:spacing w:before="120" w:after="120"/>
        <w:ind w:firstLine="709"/>
        <w:contextualSpacing/>
        <w:jc w:val="both"/>
        <w:rPr>
          <w:rFonts w:ascii="Times New Roman" w:hAnsi="Times New Roman" w:cs="Times New Roman"/>
          <w:b/>
          <w:color w:val="auto"/>
          <w:sz w:val="26"/>
          <w:szCs w:val="26"/>
        </w:rPr>
      </w:pPr>
    </w:p>
    <w:p w14:paraId="4D9FB046" w14:textId="77777777" w:rsidR="00CB5C59" w:rsidRPr="00A93608" w:rsidRDefault="00CB5C59" w:rsidP="0063570E">
      <w:pPr>
        <w:spacing w:before="120" w:after="120"/>
        <w:ind w:firstLine="709"/>
        <w:contextualSpacing/>
        <w:jc w:val="both"/>
        <w:rPr>
          <w:rFonts w:ascii="Times New Roman" w:hAnsi="Times New Roman" w:cs="Times New Roman"/>
          <w:b/>
          <w:color w:val="auto"/>
          <w:sz w:val="26"/>
          <w:szCs w:val="26"/>
        </w:rPr>
      </w:pPr>
    </w:p>
    <w:p w14:paraId="0911EABC" w14:textId="78FF7552" w:rsidR="00B767F5" w:rsidRPr="00A93608" w:rsidRDefault="00260157" w:rsidP="0063570E">
      <w:pPr>
        <w:spacing w:before="120" w:after="120"/>
        <w:ind w:firstLine="709"/>
        <w:contextualSpacing/>
        <w:jc w:val="both"/>
        <w:rPr>
          <w:rFonts w:ascii="Times New Roman" w:hAnsi="Times New Roman" w:cs="Times New Roman"/>
          <w:b/>
          <w:color w:val="auto"/>
          <w:sz w:val="26"/>
          <w:szCs w:val="26"/>
        </w:rPr>
      </w:pPr>
      <w:r w:rsidRPr="00A93608">
        <w:rPr>
          <w:rFonts w:ascii="Times New Roman" w:hAnsi="Times New Roman" w:cs="Times New Roman"/>
          <w:b/>
          <w:color w:val="auto"/>
          <w:sz w:val="26"/>
          <w:szCs w:val="26"/>
        </w:rPr>
        <w:t>B. DANH MỤC THỦ TỤC HÀNH CHÍNH</w:t>
      </w:r>
      <w:r w:rsidRPr="00A93608">
        <w:rPr>
          <w:rFonts w:ascii="Times New Roman" w:hAnsi="Times New Roman" w:cs="Times New Roman"/>
          <w:b/>
          <w:color w:val="auto"/>
          <w:sz w:val="26"/>
          <w:szCs w:val="26"/>
          <w:lang w:val="vi-VN"/>
        </w:rPr>
        <w:t xml:space="preserve"> </w:t>
      </w:r>
      <w:r w:rsidRPr="00A93608">
        <w:rPr>
          <w:rFonts w:ascii="Times New Roman" w:hAnsi="Times New Roman" w:cs="Times New Roman"/>
          <w:b/>
          <w:color w:val="auto"/>
          <w:sz w:val="26"/>
          <w:szCs w:val="26"/>
        </w:rPr>
        <w:t>MỚI BAN HÀNH</w:t>
      </w:r>
      <w:r w:rsidRPr="00A93608">
        <w:rPr>
          <w:rFonts w:ascii="Times New Roman" w:hAnsi="Times New Roman" w:cs="Times New Roman"/>
          <w:b/>
          <w:color w:val="auto"/>
          <w:sz w:val="26"/>
          <w:szCs w:val="26"/>
          <w:lang w:val="vi-VN"/>
        </w:rPr>
        <w:t xml:space="preserve"> </w:t>
      </w:r>
      <w:r w:rsidRPr="00A93608">
        <w:rPr>
          <w:rFonts w:ascii="Times New Roman" w:hAnsi="Times New Roman" w:cs="Times New Roman"/>
          <w:b/>
          <w:color w:val="auto"/>
          <w:sz w:val="26"/>
          <w:szCs w:val="26"/>
        </w:rPr>
        <w:t xml:space="preserve">THUỘC THẨM QUYỀN TIẾP NHẬN </w:t>
      </w:r>
      <w:r w:rsidR="00B767F5" w:rsidRPr="00A93608">
        <w:rPr>
          <w:rFonts w:ascii="Times New Roman" w:hAnsi="Times New Roman" w:cs="Times New Roman"/>
          <w:b/>
          <w:color w:val="auto"/>
          <w:sz w:val="26"/>
          <w:szCs w:val="26"/>
        </w:rPr>
        <w:t>CẤP CƠ SỞ</w:t>
      </w:r>
    </w:p>
    <w:p w14:paraId="312A8086" w14:textId="77777777" w:rsidR="00A12686" w:rsidRPr="00A93608" w:rsidRDefault="00A12686" w:rsidP="0063570E">
      <w:pPr>
        <w:spacing w:before="120" w:after="120"/>
        <w:ind w:firstLine="709"/>
        <w:contextualSpacing/>
        <w:jc w:val="both"/>
        <w:rPr>
          <w:rFonts w:ascii="Times New Roman" w:hAnsi="Times New Roman" w:cs="Times New Roman"/>
          <w:b/>
          <w:color w:val="auto"/>
          <w:sz w:val="26"/>
          <w:szCs w:val="26"/>
        </w:rPr>
      </w:pPr>
    </w:p>
    <w:tbl>
      <w:tblPr>
        <w:tblW w:w="543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230"/>
        <w:gridCol w:w="2617"/>
        <w:gridCol w:w="1361"/>
        <w:gridCol w:w="924"/>
        <w:gridCol w:w="2948"/>
        <w:gridCol w:w="5421"/>
      </w:tblGrid>
      <w:tr w:rsidR="00A93608" w:rsidRPr="00A93608" w14:paraId="707B36B8" w14:textId="77777777" w:rsidTr="004B7FC6">
        <w:trPr>
          <w:tblHeader/>
        </w:trPr>
        <w:tc>
          <w:tcPr>
            <w:tcW w:w="183" w:type="pct"/>
            <w:shd w:val="clear" w:color="auto" w:fill="auto"/>
            <w:vAlign w:val="center"/>
          </w:tcPr>
          <w:p w14:paraId="1E42E02D" w14:textId="1F2D28F4" w:rsidR="00B767F5" w:rsidRPr="00A93608" w:rsidRDefault="00B767F5" w:rsidP="0063570E">
            <w:pPr>
              <w:spacing w:before="120" w:after="120"/>
              <w:ind w:left="142"/>
              <w:contextualSpacing/>
              <w:jc w:val="center"/>
              <w:rPr>
                <w:rFonts w:ascii="Times New Roman" w:hAnsi="Times New Roman" w:cs="Times New Roman"/>
                <w:b/>
                <w:color w:val="auto"/>
                <w:sz w:val="26"/>
                <w:szCs w:val="26"/>
              </w:rPr>
            </w:pPr>
            <w:r w:rsidRPr="00A93608">
              <w:rPr>
                <w:rFonts w:ascii="Times New Roman" w:hAnsi="Times New Roman" w:cs="Times New Roman"/>
                <w:b/>
                <w:color w:val="auto"/>
                <w:sz w:val="26"/>
                <w:szCs w:val="26"/>
              </w:rPr>
              <w:t>TT</w:t>
            </w:r>
          </w:p>
        </w:tc>
        <w:tc>
          <w:tcPr>
            <w:tcW w:w="415" w:type="pct"/>
            <w:shd w:val="clear" w:color="auto" w:fill="auto"/>
            <w:vAlign w:val="center"/>
          </w:tcPr>
          <w:p w14:paraId="069EF14C" w14:textId="2288EB70" w:rsidR="00B767F5" w:rsidRPr="00A93608" w:rsidRDefault="00B767F5" w:rsidP="0063570E">
            <w:pPr>
              <w:spacing w:before="120" w:after="120"/>
              <w:contextualSpacing/>
              <w:jc w:val="center"/>
              <w:rPr>
                <w:rFonts w:ascii="Times New Roman" w:hAnsi="Times New Roman" w:cs="Times New Roman"/>
                <w:color w:val="auto"/>
                <w:spacing w:val="-2"/>
                <w:sz w:val="26"/>
                <w:szCs w:val="26"/>
                <w:lang w:val="da-DK"/>
              </w:rPr>
            </w:pPr>
            <w:r w:rsidRPr="00A93608">
              <w:rPr>
                <w:rFonts w:ascii="Times New Roman" w:hAnsi="Times New Roman" w:cs="Times New Roman"/>
                <w:b/>
                <w:color w:val="auto"/>
                <w:sz w:val="26"/>
                <w:szCs w:val="26"/>
              </w:rPr>
              <w:t>Tên thủ tục hành chính</w:t>
            </w:r>
          </w:p>
        </w:tc>
        <w:tc>
          <w:tcPr>
            <w:tcW w:w="871" w:type="pct"/>
            <w:shd w:val="clear" w:color="auto" w:fill="auto"/>
            <w:vAlign w:val="center"/>
          </w:tcPr>
          <w:p w14:paraId="1A9BA703" w14:textId="79BCF682" w:rsidR="00B767F5" w:rsidRPr="00A93608" w:rsidRDefault="00B767F5" w:rsidP="0063570E">
            <w:pPr>
              <w:pStyle w:val="ListParagraph"/>
              <w:widowControl w:val="0"/>
              <w:spacing w:before="120" w:after="120"/>
              <w:ind w:left="0"/>
              <w:jc w:val="center"/>
              <w:rPr>
                <w:sz w:val="26"/>
                <w:szCs w:val="26"/>
              </w:rPr>
            </w:pPr>
            <w:r w:rsidRPr="00A93608">
              <w:rPr>
                <w:b/>
                <w:sz w:val="26"/>
                <w:szCs w:val="26"/>
              </w:rPr>
              <w:t>Thời hạn</w:t>
            </w:r>
            <w:r w:rsidRPr="00A93608">
              <w:rPr>
                <w:b/>
                <w:sz w:val="26"/>
                <w:szCs w:val="26"/>
              </w:rPr>
              <w:br/>
              <w:t>giải quyết</w:t>
            </w:r>
          </w:p>
        </w:tc>
        <w:tc>
          <w:tcPr>
            <w:tcW w:w="458" w:type="pct"/>
            <w:shd w:val="clear" w:color="auto" w:fill="auto"/>
            <w:vAlign w:val="center"/>
          </w:tcPr>
          <w:p w14:paraId="6062CC9E" w14:textId="6149DCB9" w:rsidR="00B767F5" w:rsidRPr="00A93608" w:rsidRDefault="00B767F5" w:rsidP="0063570E">
            <w:pPr>
              <w:spacing w:before="120" w:after="120"/>
              <w:jc w:val="center"/>
              <w:rPr>
                <w:rFonts w:ascii="Times New Roman" w:hAnsi="Times New Roman" w:cs="Times New Roman"/>
                <w:iCs/>
                <w:color w:val="auto"/>
                <w:spacing w:val="-2"/>
                <w:sz w:val="26"/>
                <w:szCs w:val="26"/>
              </w:rPr>
            </w:pPr>
            <w:r w:rsidRPr="00A93608">
              <w:rPr>
                <w:rFonts w:ascii="Times New Roman" w:hAnsi="Times New Roman" w:cs="Times New Roman"/>
                <w:b/>
                <w:color w:val="auto"/>
                <w:sz w:val="26"/>
                <w:szCs w:val="26"/>
              </w:rPr>
              <w:t>Địa điểm thực hiện</w:t>
            </w:r>
          </w:p>
        </w:tc>
        <w:tc>
          <w:tcPr>
            <w:tcW w:w="299" w:type="pct"/>
            <w:shd w:val="clear" w:color="auto" w:fill="auto"/>
            <w:vAlign w:val="center"/>
          </w:tcPr>
          <w:p w14:paraId="4950C1E2" w14:textId="69A59D04" w:rsidR="00B767F5" w:rsidRPr="00A93608" w:rsidRDefault="00B767F5" w:rsidP="0063570E">
            <w:pPr>
              <w:spacing w:before="120" w:after="120"/>
              <w:contextualSpacing/>
              <w:jc w:val="center"/>
              <w:rPr>
                <w:rFonts w:ascii="Times New Roman" w:hAnsi="Times New Roman" w:cs="Times New Roman"/>
                <w:color w:val="auto"/>
                <w:sz w:val="26"/>
                <w:szCs w:val="26"/>
              </w:rPr>
            </w:pPr>
            <w:r w:rsidRPr="00A93608">
              <w:rPr>
                <w:rFonts w:ascii="Times New Roman" w:hAnsi="Times New Roman" w:cs="Times New Roman"/>
                <w:b/>
                <w:color w:val="auto"/>
                <w:sz w:val="26"/>
                <w:szCs w:val="26"/>
              </w:rPr>
              <w:t xml:space="preserve">Phí, </w:t>
            </w:r>
            <w:r w:rsidRPr="00A93608">
              <w:rPr>
                <w:rFonts w:ascii="Times New Roman" w:hAnsi="Times New Roman" w:cs="Times New Roman"/>
                <w:b/>
                <w:color w:val="auto"/>
                <w:sz w:val="26"/>
                <w:szCs w:val="26"/>
              </w:rPr>
              <w:br/>
              <w:t>lệ phí</w:t>
            </w:r>
          </w:p>
        </w:tc>
        <w:tc>
          <w:tcPr>
            <w:tcW w:w="980" w:type="pct"/>
            <w:shd w:val="clear" w:color="auto" w:fill="auto"/>
            <w:vAlign w:val="center"/>
          </w:tcPr>
          <w:p w14:paraId="3A2AD7F0" w14:textId="11858D4E" w:rsidR="00B767F5" w:rsidRPr="00A93608" w:rsidRDefault="00B767F5" w:rsidP="0063570E">
            <w:pPr>
              <w:pStyle w:val="ListParagraph"/>
              <w:widowControl w:val="0"/>
              <w:spacing w:before="120" w:after="120"/>
              <w:ind w:left="0"/>
              <w:jc w:val="center"/>
              <w:rPr>
                <w:sz w:val="26"/>
                <w:szCs w:val="26"/>
                <w:lang w:bidi="vi-VN"/>
              </w:rPr>
            </w:pPr>
            <w:r w:rsidRPr="00A93608">
              <w:rPr>
                <w:b/>
                <w:sz w:val="26"/>
                <w:szCs w:val="26"/>
              </w:rPr>
              <w:t>Căn cứ pháp lý</w:t>
            </w:r>
          </w:p>
        </w:tc>
        <w:tc>
          <w:tcPr>
            <w:tcW w:w="1793" w:type="pct"/>
            <w:shd w:val="clear" w:color="auto" w:fill="auto"/>
            <w:vAlign w:val="center"/>
          </w:tcPr>
          <w:p w14:paraId="18AAEE0D" w14:textId="4B8A9D90" w:rsidR="00B767F5" w:rsidRPr="00A93608" w:rsidRDefault="00B767F5" w:rsidP="0063570E">
            <w:pPr>
              <w:spacing w:before="120" w:after="120"/>
              <w:jc w:val="center"/>
              <w:rPr>
                <w:rFonts w:ascii="Times New Roman" w:hAnsi="Times New Roman" w:cs="Times New Roman"/>
                <w:b/>
                <w:color w:val="auto"/>
                <w:sz w:val="26"/>
                <w:szCs w:val="26"/>
              </w:rPr>
            </w:pPr>
            <w:r w:rsidRPr="00A93608">
              <w:rPr>
                <w:rFonts w:ascii="Times New Roman" w:hAnsi="Times New Roman" w:cs="Times New Roman"/>
                <w:b/>
                <w:color w:val="auto"/>
                <w:sz w:val="26"/>
                <w:szCs w:val="26"/>
              </w:rPr>
              <w:t>Ghi chú</w:t>
            </w:r>
          </w:p>
        </w:tc>
      </w:tr>
      <w:tr w:rsidR="00A93608" w:rsidRPr="00A93608" w14:paraId="7253CB48" w14:textId="77777777" w:rsidTr="003034FE">
        <w:tc>
          <w:tcPr>
            <w:tcW w:w="183" w:type="pct"/>
            <w:shd w:val="clear" w:color="auto" w:fill="auto"/>
          </w:tcPr>
          <w:p w14:paraId="397DE79F" w14:textId="77777777" w:rsidR="00B767F5" w:rsidRPr="00A93608" w:rsidRDefault="00B767F5" w:rsidP="0063570E">
            <w:pPr>
              <w:numPr>
                <w:ilvl w:val="0"/>
                <w:numId w:val="20"/>
              </w:numPr>
              <w:spacing w:before="120" w:after="120"/>
              <w:contextualSpacing/>
              <w:jc w:val="both"/>
              <w:rPr>
                <w:rFonts w:ascii="Times New Roman" w:hAnsi="Times New Roman" w:cs="Times New Roman"/>
                <w:bCs/>
                <w:color w:val="auto"/>
                <w:sz w:val="26"/>
                <w:szCs w:val="26"/>
              </w:rPr>
            </w:pPr>
          </w:p>
        </w:tc>
        <w:tc>
          <w:tcPr>
            <w:tcW w:w="415" w:type="pct"/>
            <w:shd w:val="clear" w:color="auto" w:fill="FFFFFF"/>
          </w:tcPr>
          <w:p w14:paraId="2E2B9588" w14:textId="77777777" w:rsidR="00B767F5" w:rsidRPr="00A93608" w:rsidRDefault="00B767F5" w:rsidP="0063570E">
            <w:pPr>
              <w:spacing w:before="120" w:after="120"/>
              <w:contextualSpacing/>
              <w:jc w:val="both"/>
              <w:rPr>
                <w:rFonts w:ascii="Times New Roman" w:hAnsi="Times New Roman" w:cs="Times New Roman"/>
                <w:color w:val="auto"/>
                <w:sz w:val="26"/>
                <w:szCs w:val="26"/>
              </w:rPr>
            </w:pPr>
            <w:r w:rsidRPr="00A93608">
              <w:rPr>
                <w:rFonts w:ascii="Times New Roman" w:hAnsi="Times New Roman" w:cs="Times New Roman"/>
                <w:color w:val="auto"/>
                <w:spacing w:val="-2"/>
                <w:sz w:val="26"/>
                <w:szCs w:val="26"/>
                <w:lang w:val="da-DK"/>
              </w:rPr>
              <w:t xml:space="preserve">Thủ tục xác định nhiệm vụ khoa học và công nghệ cấp cơ sở sử dụng </w:t>
            </w:r>
            <w:r w:rsidRPr="00A93608">
              <w:rPr>
                <w:rFonts w:ascii="Times New Roman" w:hAnsi="Times New Roman" w:cs="Times New Roman"/>
                <w:color w:val="auto"/>
                <w:spacing w:val="-2"/>
                <w:sz w:val="26"/>
                <w:szCs w:val="26"/>
                <w:lang w:val="da-DK"/>
              </w:rPr>
              <w:lastRenderedPageBreak/>
              <w:t>ngân sách nhà nước</w:t>
            </w:r>
          </w:p>
        </w:tc>
        <w:tc>
          <w:tcPr>
            <w:tcW w:w="871" w:type="pct"/>
            <w:shd w:val="clear" w:color="auto" w:fill="FFFFFF"/>
          </w:tcPr>
          <w:p w14:paraId="591442EB" w14:textId="77777777" w:rsidR="00B767F5" w:rsidRPr="00A93608" w:rsidRDefault="00B767F5" w:rsidP="0063570E">
            <w:pPr>
              <w:pStyle w:val="ListParagraph"/>
              <w:widowControl w:val="0"/>
              <w:spacing w:before="120" w:after="120"/>
              <w:ind w:left="0"/>
              <w:jc w:val="center"/>
              <w:rPr>
                <w:sz w:val="26"/>
                <w:szCs w:val="26"/>
              </w:rPr>
            </w:pPr>
            <w:r w:rsidRPr="00A93608">
              <w:rPr>
                <w:sz w:val="26"/>
                <w:szCs w:val="26"/>
              </w:rPr>
              <w:lastRenderedPageBreak/>
              <w:t>Không quy định</w:t>
            </w:r>
          </w:p>
        </w:tc>
        <w:tc>
          <w:tcPr>
            <w:tcW w:w="458" w:type="pct"/>
            <w:shd w:val="clear" w:color="auto" w:fill="FFFFFF"/>
          </w:tcPr>
          <w:p w14:paraId="79581A44" w14:textId="5D9EE450" w:rsidR="00B767F5" w:rsidRPr="00A93608" w:rsidRDefault="00B767F5" w:rsidP="0063570E">
            <w:pPr>
              <w:spacing w:before="120" w:after="120"/>
              <w:jc w:val="both"/>
              <w:rPr>
                <w:rFonts w:ascii="Times New Roman" w:hAnsi="Times New Roman" w:cs="Times New Roman"/>
                <w:bCs/>
                <w:color w:val="auto"/>
                <w:sz w:val="26"/>
                <w:szCs w:val="26"/>
              </w:rPr>
            </w:pPr>
            <w:r w:rsidRPr="00A93608">
              <w:rPr>
                <w:rFonts w:ascii="Times New Roman" w:hAnsi="Times New Roman" w:cs="Times New Roman"/>
                <w:iCs/>
                <w:color w:val="auto"/>
                <w:spacing w:val="-2"/>
                <w:sz w:val="26"/>
                <w:szCs w:val="26"/>
              </w:rPr>
              <w:t xml:space="preserve">Cơ quan, đơn vị quản lý nhiệm vụ khoa học và công nghệ </w:t>
            </w:r>
            <w:r w:rsidR="008A6E7B" w:rsidRPr="00A93608">
              <w:rPr>
                <w:rFonts w:ascii="Times New Roman" w:hAnsi="Times New Roman" w:cs="Times New Roman"/>
                <w:iCs/>
                <w:color w:val="auto"/>
                <w:spacing w:val="-2"/>
                <w:sz w:val="26"/>
                <w:szCs w:val="26"/>
              </w:rPr>
              <w:t xml:space="preserve">cấp </w:t>
            </w:r>
            <w:r w:rsidR="008A6E7B" w:rsidRPr="00A93608">
              <w:rPr>
                <w:rFonts w:ascii="Times New Roman" w:hAnsi="Times New Roman" w:cs="Times New Roman"/>
                <w:iCs/>
                <w:color w:val="auto"/>
                <w:spacing w:val="-2"/>
                <w:sz w:val="26"/>
                <w:szCs w:val="26"/>
              </w:rPr>
              <w:lastRenderedPageBreak/>
              <w:t>cơ sở sử dụng ngân sách nhà nước</w:t>
            </w:r>
          </w:p>
        </w:tc>
        <w:tc>
          <w:tcPr>
            <w:tcW w:w="299" w:type="pct"/>
            <w:shd w:val="clear" w:color="auto" w:fill="FFFFFF"/>
          </w:tcPr>
          <w:p w14:paraId="43F4AE4B" w14:textId="77777777" w:rsidR="00B767F5" w:rsidRPr="00A93608" w:rsidRDefault="00B767F5" w:rsidP="0063570E">
            <w:pPr>
              <w:spacing w:before="120" w:after="120"/>
              <w:contextualSpacing/>
              <w:jc w:val="both"/>
              <w:rPr>
                <w:rFonts w:ascii="Times New Roman" w:hAnsi="Times New Roman" w:cs="Times New Roman"/>
                <w:bCs/>
                <w:color w:val="auto"/>
                <w:sz w:val="26"/>
                <w:szCs w:val="26"/>
              </w:rPr>
            </w:pPr>
            <w:r w:rsidRPr="00A93608">
              <w:rPr>
                <w:rFonts w:ascii="Times New Roman" w:hAnsi="Times New Roman" w:cs="Times New Roman"/>
                <w:color w:val="auto"/>
                <w:sz w:val="26"/>
                <w:szCs w:val="26"/>
              </w:rPr>
              <w:lastRenderedPageBreak/>
              <w:t>Không</w:t>
            </w:r>
          </w:p>
        </w:tc>
        <w:tc>
          <w:tcPr>
            <w:tcW w:w="980" w:type="pct"/>
            <w:shd w:val="clear" w:color="auto" w:fill="FFFFFF"/>
          </w:tcPr>
          <w:p w14:paraId="1CCF5C5F" w14:textId="77777777" w:rsidR="00B767F5" w:rsidRPr="00A93608" w:rsidRDefault="00B767F5" w:rsidP="0063570E">
            <w:pPr>
              <w:pStyle w:val="ListParagraph"/>
              <w:widowControl w:val="0"/>
              <w:spacing w:before="120" w:after="120"/>
              <w:ind w:left="0"/>
              <w:jc w:val="both"/>
              <w:rPr>
                <w:sz w:val="26"/>
                <w:szCs w:val="26"/>
                <w:lang w:bidi="vi-VN"/>
              </w:rPr>
            </w:pPr>
            <w:r w:rsidRPr="00A93608">
              <w:rPr>
                <w:sz w:val="26"/>
                <w:szCs w:val="26"/>
                <w:lang w:bidi="vi-VN"/>
              </w:rPr>
              <w:t>- Luật khoa học và công nghệ ngày 18 tháng 6 năm 2013.</w:t>
            </w:r>
          </w:p>
          <w:p w14:paraId="5A177C48" w14:textId="77777777" w:rsidR="00B767F5" w:rsidRPr="00A93608" w:rsidRDefault="00B767F5" w:rsidP="0063570E">
            <w:pPr>
              <w:pStyle w:val="ListParagraph"/>
              <w:widowControl w:val="0"/>
              <w:spacing w:before="120" w:after="120"/>
              <w:ind w:left="0"/>
              <w:jc w:val="both"/>
              <w:rPr>
                <w:spacing w:val="-4"/>
                <w:sz w:val="26"/>
                <w:szCs w:val="26"/>
                <w:lang w:bidi="vi-VN"/>
              </w:rPr>
            </w:pPr>
            <w:r w:rsidRPr="00A93608">
              <w:rPr>
                <w:spacing w:val="-4"/>
                <w:sz w:val="26"/>
                <w:szCs w:val="26"/>
                <w:lang w:bidi="vi-VN"/>
              </w:rPr>
              <w:t xml:space="preserve">- Nghị định số 08/2014/NĐ-CP ngày 27 tháng 01 năm 2014 của Chính phủ quy định chi tiết </w:t>
            </w:r>
            <w:r w:rsidRPr="00A93608">
              <w:rPr>
                <w:spacing w:val="-4"/>
                <w:sz w:val="26"/>
                <w:szCs w:val="26"/>
                <w:lang w:bidi="vi-VN"/>
              </w:rPr>
              <w:lastRenderedPageBreak/>
              <w:t>và hướng dẫn thi hành một số điều của Luật khoa học và công nghệ.</w:t>
            </w:r>
          </w:p>
          <w:p w14:paraId="5207B2D7" w14:textId="77777777" w:rsidR="00B767F5" w:rsidRPr="00A93608" w:rsidRDefault="00B767F5" w:rsidP="0063570E">
            <w:pPr>
              <w:spacing w:before="120" w:after="120"/>
              <w:jc w:val="both"/>
              <w:rPr>
                <w:rFonts w:ascii="Times New Roman" w:hAnsi="Times New Roman" w:cs="Times New Roman"/>
                <w:color w:val="auto"/>
                <w:sz w:val="26"/>
                <w:szCs w:val="26"/>
                <w:lang w:bidi="vi-VN"/>
              </w:rPr>
            </w:pPr>
            <w:r w:rsidRPr="00A93608">
              <w:rPr>
                <w:rFonts w:ascii="Times New Roman" w:hAnsi="Times New Roman" w:cs="Times New Roman"/>
                <w:color w:val="auto"/>
                <w:sz w:val="26"/>
                <w:szCs w:val="26"/>
                <w:lang w:bidi="vi-VN"/>
              </w:rPr>
              <w:t xml:space="preserve">- Thông tư số 09/2024/TT-BKHCN ngày 27 tháng 12 năm 2024 của Bộ trưởng Bộ Khoa học và Công nghệ </w:t>
            </w:r>
            <w:r w:rsidRPr="00A93608">
              <w:rPr>
                <w:rFonts w:ascii="Times New Roman" w:hAnsi="Times New Roman" w:cs="Times New Roman"/>
                <w:color w:val="auto"/>
                <w:sz w:val="26"/>
                <w:szCs w:val="26"/>
                <w:lang w:val="vi-VN"/>
              </w:rPr>
              <w:t>q</w:t>
            </w:r>
            <w:r w:rsidRPr="00A93608">
              <w:rPr>
                <w:rFonts w:ascii="Times New Roman" w:hAnsi="Times New Roman" w:cs="Times New Roman"/>
                <w:color w:val="auto"/>
                <w:sz w:val="26"/>
                <w:szCs w:val="26"/>
              </w:rPr>
              <w:t>uy định quản lý nhiệm vụ khoa học và công nghệ cấp tỉnh, cấp cơ sở sử dụng ngân sách nhà nước</w:t>
            </w:r>
            <w:r w:rsidRPr="00A93608">
              <w:rPr>
                <w:rFonts w:ascii="Times New Roman" w:hAnsi="Times New Roman" w:cs="Times New Roman"/>
                <w:color w:val="auto"/>
                <w:sz w:val="26"/>
                <w:szCs w:val="26"/>
                <w:lang w:bidi="vi-VN"/>
              </w:rPr>
              <w:t>.</w:t>
            </w:r>
          </w:p>
          <w:p w14:paraId="0C64D666" w14:textId="77777777" w:rsidR="00B767F5" w:rsidRPr="00A93608" w:rsidRDefault="00B767F5" w:rsidP="0063570E">
            <w:pPr>
              <w:spacing w:before="120" w:after="120"/>
              <w:jc w:val="both"/>
              <w:rPr>
                <w:rFonts w:ascii="Times New Roman" w:hAnsi="Times New Roman" w:cs="Times New Roman"/>
                <w:bCs/>
                <w:color w:val="auto"/>
                <w:sz w:val="26"/>
                <w:szCs w:val="26"/>
              </w:rPr>
            </w:pPr>
            <w:r w:rsidRPr="00A93608">
              <w:rPr>
                <w:rFonts w:ascii="Times New Roman" w:hAnsi="Times New Roman" w:cs="Times New Roman"/>
                <w:color w:val="auto"/>
                <w:sz w:val="26"/>
                <w:szCs w:val="26"/>
                <w:lang w:bidi="vi-VN"/>
              </w:rPr>
              <w:t>- Quyết định số 45/QĐ-BKHCN ngày 15 tháng 01 năm 2025 của Bộ trưởng Bộ Khoa học và Công nghệ về việc công bố thủ tục hành chính mới ban hành trong lĩnh vực hoạt động khoa học và công nghệ thuộc phạm vi chức năng quản lý của Bộ Khoa học và Công nghệ.</w:t>
            </w:r>
          </w:p>
        </w:tc>
        <w:tc>
          <w:tcPr>
            <w:tcW w:w="1793" w:type="pct"/>
            <w:shd w:val="clear" w:color="auto" w:fill="FFFFFF"/>
          </w:tcPr>
          <w:p w14:paraId="1381B6F0" w14:textId="15CB2B96" w:rsidR="00B767F5" w:rsidRPr="00A93608" w:rsidRDefault="00B767F5" w:rsidP="004D00CF">
            <w:pPr>
              <w:spacing w:before="120" w:after="120"/>
              <w:jc w:val="both"/>
              <w:rPr>
                <w:rFonts w:ascii="Times New Roman" w:hAnsi="Times New Roman" w:cs="Times New Roman"/>
                <w:b/>
                <w:color w:val="auto"/>
                <w:sz w:val="26"/>
                <w:szCs w:val="26"/>
              </w:rPr>
            </w:pPr>
            <w:r w:rsidRPr="00A93608">
              <w:rPr>
                <w:rFonts w:ascii="Times New Roman" w:hAnsi="Times New Roman" w:cs="Times New Roman"/>
                <w:b/>
                <w:color w:val="auto"/>
                <w:sz w:val="26"/>
                <w:szCs w:val="26"/>
              </w:rPr>
              <w:lastRenderedPageBreak/>
              <w:t>Kết quả giải quyết TTHC:</w:t>
            </w:r>
            <w:r w:rsidRPr="00A93608">
              <w:rPr>
                <w:rFonts w:ascii="Times New Roman" w:hAnsi="Times New Roman" w:cs="Times New Roman"/>
                <w:bCs/>
                <w:color w:val="auto"/>
                <w:sz w:val="26"/>
                <w:szCs w:val="26"/>
              </w:rPr>
              <w:t xml:space="preserve"> </w:t>
            </w:r>
            <w:r w:rsidR="004D00CF" w:rsidRPr="00A93608">
              <w:rPr>
                <w:rFonts w:ascii="Times New Roman" w:hAnsi="Times New Roman" w:cs="Times New Roman"/>
                <w:bCs/>
                <w:color w:val="auto"/>
                <w:sz w:val="26"/>
                <w:szCs w:val="26"/>
              </w:rPr>
              <w:t>Quyết định phê duyệt danh mục nhiệm vụ khoa học và công nghệ cấp cơ sở</w:t>
            </w:r>
          </w:p>
        </w:tc>
      </w:tr>
      <w:tr w:rsidR="00A93608" w:rsidRPr="00A93608" w14:paraId="2F4D1517" w14:textId="77777777" w:rsidTr="003034FE">
        <w:tc>
          <w:tcPr>
            <w:tcW w:w="183" w:type="pct"/>
            <w:shd w:val="clear" w:color="auto" w:fill="auto"/>
          </w:tcPr>
          <w:p w14:paraId="13AA8EE8" w14:textId="77777777" w:rsidR="00B767F5" w:rsidRPr="00A93608" w:rsidRDefault="00B767F5" w:rsidP="0063570E">
            <w:pPr>
              <w:numPr>
                <w:ilvl w:val="0"/>
                <w:numId w:val="20"/>
              </w:numPr>
              <w:spacing w:before="120" w:after="120"/>
              <w:contextualSpacing/>
              <w:jc w:val="both"/>
              <w:rPr>
                <w:rFonts w:ascii="Times New Roman" w:hAnsi="Times New Roman" w:cs="Times New Roman"/>
                <w:bCs/>
                <w:color w:val="auto"/>
                <w:sz w:val="26"/>
                <w:szCs w:val="26"/>
              </w:rPr>
            </w:pPr>
          </w:p>
        </w:tc>
        <w:tc>
          <w:tcPr>
            <w:tcW w:w="415" w:type="pct"/>
            <w:shd w:val="clear" w:color="auto" w:fill="FFFFFF"/>
          </w:tcPr>
          <w:p w14:paraId="1139169A" w14:textId="77777777" w:rsidR="00B767F5" w:rsidRPr="00A93608" w:rsidRDefault="00B767F5" w:rsidP="0063570E">
            <w:pPr>
              <w:spacing w:before="120" w:after="120"/>
              <w:contextualSpacing/>
              <w:jc w:val="both"/>
              <w:rPr>
                <w:rFonts w:ascii="Times New Roman" w:hAnsi="Times New Roman" w:cs="Times New Roman"/>
                <w:color w:val="auto"/>
                <w:sz w:val="26"/>
                <w:szCs w:val="26"/>
              </w:rPr>
            </w:pPr>
            <w:r w:rsidRPr="00A93608">
              <w:rPr>
                <w:rFonts w:ascii="Times New Roman" w:hAnsi="Times New Roman" w:cs="Times New Roman"/>
                <w:color w:val="auto"/>
                <w:sz w:val="26"/>
                <w:szCs w:val="26"/>
              </w:rPr>
              <w:t xml:space="preserve">Thủ tục đăng ký tham gia </w:t>
            </w:r>
            <w:r w:rsidRPr="00A93608">
              <w:rPr>
                <w:rFonts w:ascii="Times New Roman" w:hAnsi="Times New Roman" w:cs="Times New Roman"/>
                <w:color w:val="auto"/>
                <w:sz w:val="26"/>
                <w:szCs w:val="26"/>
              </w:rPr>
              <w:lastRenderedPageBreak/>
              <w:t>tuyển chọn nhiệm vụ khoa học và công nghệ cấp cơ sở sử dụng ngân sách nhà nước</w:t>
            </w:r>
          </w:p>
        </w:tc>
        <w:tc>
          <w:tcPr>
            <w:tcW w:w="871" w:type="pct"/>
            <w:shd w:val="clear" w:color="auto" w:fill="FFFFFF"/>
          </w:tcPr>
          <w:p w14:paraId="5624CDE3" w14:textId="46062E2F" w:rsidR="00B767F5" w:rsidRPr="00A93608" w:rsidRDefault="00B767F5" w:rsidP="0063570E">
            <w:pPr>
              <w:pStyle w:val="ListParagraph"/>
              <w:spacing w:before="120" w:after="120"/>
              <w:ind w:left="0"/>
              <w:jc w:val="both"/>
              <w:rPr>
                <w:sz w:val="26"/>
                <w:szCs w:val="26"/>
              </w:rPr>
            </w:pPr>
            <w:r w:rsidRPr="00A93608">
              <w:rPr>
                <w:sz w:val="26"/>
                <w:szCs w:val="26"/>
              </w:rPr>
              <w:lastRenderedPageBreak/>
              <w:t xml:space="preserve">- Kết thúc thời hạn nhận hồ sơ đăng ký tuyển chọn trong thời </w:t>
            </w:r>
            <w:r w:rsidRPr="00A93608">
              <w:rPr>
                <w:sz w:val="26"/>
                <w:szCs w:val="26"/>
              </w:rPr>
              <w:lastRenderedPageBreak/>
              <w:t>hạn 10 ngày, cơ quan, đơn vị cấp cơ sở tổ chức mở, kiểm tra và xác nhận tính hợp lệ của hồ sơ đăng ký tuyển chọn nhiệm vụ khoa học và công nghệ cấp cơ sở;</w:t>
            </w:r>
          </w:p>
          <w:p w14:paraId="5CFB634A" w14:textId="77777777" w:rsidR="00B767F5" w:rsidRPr="00A93608" w:rsidRDefault="00B767F5" w:rsidP="0063570E">
            <w:pPr>
              <w:pStyle w:val="ListParagraph"/>
              <w:spacing w:before="120" w:after="120"/>
              <w:ind w:left="0"/>
              <w:jc w:val="both"/>
              <w:rPr>
                <w:sz w:val="26"/>
                <w:szCs w:val="26"/>
              </w:rPr>
            </w:pPr>
            <w:r w:rsidRPr="00A93608">
              <w:rPr>
                <w:sz w:val="26"/>
                <w:szCs w:val="26"/>
              </w:rPr>
              <w:t>- Trong thời hạn 10 ngày kể từ ngày có kết quả tư vấn của Hội đồng tuyển chọn, kết quả thẩm định của Tổ thẩm định kinh phí (nếu có), tổ chức chủ trì và chủ nhiệm nhiệm vụ có trách nhiệm hoàn thiện hồ sơ gửi về cơ quan, đơn vị cấp cơ sở;</w:t>
            </w:r>
          </w:p>
          <w:p w14:paraId="331D0851" w14:textId="77777777" w:rsidR="00B767F5" w:rsidRPr="00A93608" w:rsidRDefault="00B767F5" w:rsidP="0063570E">
            <w:pPr>
              <w:pStyle w:val="ListParagraph"/>
              <w:spacing w:before="120" w:after="120"/>
              <w:ind w:left="0"/>
              <w:jc w:val="both"/>
              <w:rPr>
                <w:sz w:val="26"/>
                <w:szCs w:val="26"/>
              </w:rPr>
            </w:pPr>
            <w:r w:rsidRPr="00A93608">
              <w:rPr>
                <w:sz w:val="26"/>
                <w:szCs w:val="26"/>
              </w:rPr>
              <w:t xml:space="preserve">- Trong thời hạn 07 ngày làm việc kể từ ngày nhận được đầy đủ hồ sơ hợp lệ, thủ trưởng cơ quan, đơn vị cấp cơ sở quyết định theo thẩm quyền hoặc trình cơ quan có thẩm </w:t>
            </w:r>
            <w:r w:rsidRPr="00A93608">
              <w:rPr>
                <w:sz w:val="26"/>
                <w:szCs w:val="26"/>
              </w:rPr>
              <w:lastRenderedPageBreak/>
              <w:t>quyền phê duyệt kết quả tuyển chọn tổ chức chủ trì, chủ nhiệm nhiệm vụ và kinh phí thực hiện nhiệm vụ khoa học và công nghệ cấp cơ sở theo quy định về tổ chức và hoạt động của mình.</w:t>
            </w:r>
          </w:p>
        </w:tc>
        <w:tc>
          <w:tcPr>
            <w:tcW w:w="458" w:type="pct"/>
            <w:shd w:val="clear" w:color="auto" w:fill="FFFFFF"/>
          </w:tcPr>
          <w:p w14:paraId="7BD4DD9E" w14:textId="3CCB766B" w:rsidR="00B767F5" w:rsidRPr="00A93608" w:rsidRDefault="00114E80" w:rsidP="0063570E">
            <w:pPr>
              <w:spacing w:before="120" w:after="120"/>
              <w:jc w:val="both"/>
              <w:rPr>
                <w:rFonts w:ascii="Times New Roman" w:hAnsi="Times New Roman" w:cs="Times New Roman"/>
                <w:bCs/>
                <w:color w:val="auto"/>
                <w:sz w:val="26"/>
                <w:szCs w:val="26"/>
              </w:rPr>
            </w:pPr>
            <w:r w:rsidRPr="00A93608">
              <w:rPr>
                <w:rFonts w:ascii="Times New Roman" w:hAnsi="Times New Roman" w:cs="Times New Roman"/>
                <w:iCs/>
                <w:color w:val="auto"/>
                <w:spacing w:val="-2"/>
                <w:sz w:val="26"/>
                <w:szCs w:val="26"/>
              </w:rPr>
              <w:lastRenderedPageBreak/>
              <w:t xml:space="preserve">Cơ quan, đơn vị quản lý </w:t>
            </w:r>
            <w:r w:rsidRPr="00A93608">
              <w:rPr>
                <w:rFonts w:ascii="Times New Roman" w:hAnsi="Times New Roman" w:cs="Times New Roman"/>
                <w:iCs/>
                <w:color w:val="auto"/>
                <w:spacing w:val="-2"/>
                <w:sz w:val="26"/>
                <w:szCs w:val="26"/>
              </w:rPr>
              <w:lastRenderedPageBreak/>
              <w:t>nhiệm vụ khoa học và công nghệ cấp cơ sở sử dụng ngân sách nhà nước</w:t>
            </w:r>
          </w:p>
        </w:tc>
        <w:tc>
          <w:tcPr>
            <w:tcW w:w="299" w:type="pct"/>
            <w:shd w:val="clear" w:color="auto" w:fill="FFFFFF"/>
          </w:tcPr>
          <w:p w14:paraId="30470091" w14:textId="77777777" w:rsidR="00B767F5" w:rsidRPr="00A93608" w:rsidRDefault="00B767F5" w:rsidP="0063570E">
            <w:pPr>
              <w:spacing w:before="120" w:after="120"/>
              <w:contextualSpacing/>
              <w:jc w:val="both"/>
              <w:rPr>
                <w:rFonts w:ascii="Times New Roman" w:hAnsi="Times New Roman" w:cs="Times New Roman"/>
                <w:bCs/>
                <w:color w:val="auto"/>
                <w:sz w:val="26"/>
                <w:szCs w:val="26"/>
              </w:rPr>
            </w:pPr>
            <w:r w:rsidRPr="00A93608">
              <w:rPr>
                <w:rFonts w:ascii="Times New Roman" w:hAnsi="Times New Roman" w:cs="Times New Roman"/>
                <w:color w:val="auto"/>
                <w:sz w:val="26"/>
                <w:szCs w:val="26"/>
              </w:rPr>
              <w:lastRenderedPageBreak/>
              <w:t>Không</w:t>
            </w:r>
          </w:p>
        </w:tc>
        <w:tc>
          <w:tcPr>
            <w:tcW w:w="980" w:type="pct"/>
            <w:shd w:val="clear" w:color="auto" w:fill="FFFFFF"/>
          </w:tcPr>
          <w:p w14:paraId="2EED926B" w14:textId="77777777" w:rsidR="00B767F5" w:rsidRPr="00A93608" w:rsidRDefault="00B767F5" w:rsidP="0063570E">
            <w:pPr>
              <w:pStyle w:val="ListParagraph"/>
              <w:widowControl w:val="0"/>
              <w:spacing w:before="120" w:after="120"/>
              <w:ind w:left="0"/>
              <w:jc w:val="both"/>
              <w:rPr>
                <w:sz w:val="26"/>
                <w:szCs w:val="26"/>
                <w:lang w:bidi="vi-VN"/>
              </w:rPr>
            </w:pPr>
            <w:r w:rsidRPr="00A93608">
              <w:rPr>
                <w:sz w:val="26"/>
                <w:szCs w:val="26"/>
                <w:lang w:bidi="vi-VN"/>
              </w:rPr>
              <w:t>- Luật khoa học và công nghệ ngày 18 tháng 6 năm 2013.</w:t>
            </w:r>
          </w:p>
          <w:p w14:paraId="6B16E13E" w14:textId="77777777" w:rsidR="00B767F5" w:rsidRPr="00A93608" w:rsidRDefault="00B767F5" w:rsidP="0063570E">
            <w:pPr>
              <w:pStyle w:val="ListParagraph"/>
              <w:widowControl w:val="0"/>
              <w:spacing w:before="120" w:after="120"/>
              <w:ind w:left="0"/>
              <w:jc w:val="both"/>
              <w:rPr>
                <w:spacing w:val="-4"/>
                <w:sz w:val="26"/>
                <w:szCs w:val="26"/>
                <w:lang w:bidi="vi-VN"/>
              </w:rPr>
            </w:pPr>
            <w:r w:rsidRPr="00A93608">
              <w:rPr>
                <w:spacing w:val="-4"/>
                <w:sz w:val="26"/>
                <w:szCs w:val="26"/>
                <w:lang w:bidi="vi-VN"/>
              </w:rPr>
              <w:lastRenderedPageBreak/>
              <w:t>- Nghị định số 08/2014/NĐ-CP ngày 27 tháng 01 năm 2014 của Chính phủ quy định chi tiết và hướng dẫn thi hành một số điều của Luật khoa học và công nghệ.</w:t>
            </w:r>
          </w:p>
          <w:p w14:paraId="67CC0793" w14:textId="77777777" w:rsidR="00B767F5" w:rsidRPr="00A93608" w:rsidRDefault="00B767F5" w:rsidP="0063570E">
            <w:pPr>
              <w:pStyle w:val="ListParagraph"/>
              <w:widowControl w:val="0"/>
              <w:spacing w:before="120" w:after="120"/>
              <w:ind w:left="0"/>
              <w:jc w:val="both"/>
              <w:rPr>
                <w:sz w:val="26"/>
                <w:szCs w:val="26"/>
                <w:lang w:bidi="vi-VN"/>
              </w:rPr>
            </w:pPr>
            <w:r w:rsidRPr="00A93608">
              <w:rPr>
                <w:spacing w:val="-4"/>
                <w:sz w:val="26"/>
                <w:szCs w:val="26"/>
                <w:lang w:bidi="vi-VN"/>
              </w:rPr>
              <w:t xml:space="preserve">- </w:t>
            </w:r>
            <w:r w:rsidRPr="00A93608">
              <w:rPr>
                <w:sz w:val="26"/>
                <w:szCs w:val="26"/>
                <w:lang w:bidi="vi-VN"/>
              </w:rPr>
              <w:t xml:space="preserve">Thông tư số 09/2024/TT-BKHCN ngày 27 tháng 12 năm 2024 của Bộ trưởng Bộ Khoa học và Công nghệ </w:t>
            </w:r>
            <w:r w:rsidRPr="00A93608">
              <w:rPr>
                <w:sz w:val="26"/>
                <w:szCs w:val="26"/>
                <w:lang w:val="vi-VN"/>
              </w:rPr>
              <w:t>q</w:t>
            </w:r>
            <w:r w:rsidRPr="00A93608">
              <w:rPr>
                <w:sz w:val="26"/>
                <w:szCs w:val="26"/>
              </w:rPr>
              <w:t>uy định quản lý nhiệm vụ khoa học và công nghệ cấp cơ sở, cấp cơ sở sử dụng ngân sách nhà nước</w:t>
            </w:r>
            <w:r w:rsidRPr="00A93608">
              <w:rPr>
                <w:sz w:val="26"/>
                <w:szCs w:val="26"/>
                <w:lang w:bidi="vi-VN"/>
              </w:rPr>
              <w:t>.</w:t>
            </w:r>
          </w:p>
          <w:p w14:paraId="194B7C94" w14:textId="77777777" w:rsidR="00B767F5" w:rsidRPr="00A93608" w:rsidRDefault="00B767F5" w:rsidP="0063570E">
            <w:pPr>
              <w:pStyle w:val="ListParagraph"/>
              <w:widowControl w:val="0"/>
              <w:spacing w:before="120" w:after="120"/>
              <w:ind w:left="0"/>
              <w:jc w:val="both"/>
              <w:rPr>
                <w:sz w:val="26"/>
                <w:szCs w:val="26"/>
                <w:lang w:bidi="vi-VN"/>
              </w:rPr>
            </w:pPr>
            <w:r w:rsidRPr="00A93608">
              <w:rPr>
                <w:sz w:val="26"/>
                <w:szCs w:val="26"/>
                <w:lang w:bidi="vi-VN"/>
              </w:rPr>
              <w:t xml:space="preserve">- </w:t>
            </w:r>
            <w:r w:rsidRPr="00A93608">
              <w:rPr>
                <w:bCs/>
                <w:sz w:val="26"/>
                <w:szCs w:val="26"/>
              </w:rPr>
              <w:t xml:space="preserve">Quyết định số 45/QĐ-BKHCN ngày 15 tháng 01 năm 2025 của Bộ trưởng Bộ Khoa học và Công nghệ về việc công bố thủ tục hành chính mới ban hành trong lĩnh vực hoạt động khoa học và công nghệ thuộc phạm vi chức năng quản lý của Bộ Khoa </w:t>
            </w:r>
            <w:r w:rsidRPr="00A93608">
              <w:rPr>
                <w:bCs/>
                <w:sz w:val="26"/>
                <w:szCs w:val="26"/>
              </w:rPr>
              <w:lastRenderedPageBreak/>
              <w:t>học và Công nghệ.</w:t>
            </w:r>
          </w:p>
          <w:p w14:paraId="7FF6FC00" w14:textId="77777777" w:rsidR="00B767F5" w:rsidRPr="00A93608" w:rsidRDefault="00B767F5" w:rsidP="0063570E">
            <w:pPr>
              <w:spacing w:before="120" w:after="120"/>
              <w:jc w:val="both"/>
              <w:rPr>
                <w:rFonts w:ascii="Times New Roman" w:hAnsi="Times New Roman" w:cs="Times New Roman"/>
                <w:bCs/>
                <w:color w:val="auto"/>
                <w:sz w:val="26"/>
                <w:szCs w:val="26"/>
              </w:rPr>
            </w:pPr>
          </w:p>
        </w:tc>
        <w:tc>
          <w:tcPr>
            <w:tcW w:w="1793" w:type="pct"/>
            <w:shd w:val="clear" w:color="auto" w:fill="FFFFFF"/>
          </w:tcPr>
          <w:p w14:paraId="412E7BB8" w14:textId="6E95EEB0" w:rsidR="0021658C" w:rsidRPr="00A93608" w:rsidRDefault="00B767F5" w:rsidP="00854518">
            <w:pPr>
              <w:spacing w:before="120" w:after="120"/>
              <w:ind w:left="-25"/>
              <w:jc w:val="both"/>
              <w:rPr>
                <w:rFonts w:ascii="Times New Roman" w:hAnsi="Times New Roman" w:cs="Times New Roman"/>
                <w:bCs/>
                <w:color w:val="auto"/>
                <w:sz w:val="26"/>
                <w:szCs w:val="26"/>
              </w:rPr>
            </w:pPr>
            <w:r w:rsidRPr="00A93608">
              <w:rPr>
                <w:rFonts w:ascii="Times New Roman" w:hAnsi="Times New Roman" w:cs="Times New Roman"/>
                <w:b/>
                <w:bCs/>
                <w:color w:val="auto"/>
                <w:sz w:val="26"/>
                <w:szCs w:val="26"/>
              </w:rPr>
              <w:lastRenderedPageBreak/>
              <w:t>Kết quả giải quyết TTHC:</w:t>
            </w:r>
            <w:r w:rsidRPr="00A93608">
              <w:rPr>
                <w:rFonts w:ascii="Times New Roman" w:hAnsi="Times New Roman" w:cs="Times New Roman"/>
                <w:bCs/>
                <w:color w:val="auto"/>
                <w:sz w:val="26"/>
                <w:szCs w:val="26"/>
              </w:rPr>
              <w:t xml:space="preserve"> </w:t>
            </w:r>
            <w:r w:rsidR="00C65662" w:rsidRPr="00A93608">
              <w:rPr>
                <w:rFonts w:ascii="Times New Roman" w:hAnsi="Times New Roman" w:cs="Times New Roman"/>
                <w:color w:val="auto"/>
                <w:sz w:val="26"/>
                <w:szCs w:val="26"/>
              </w:rPr>
              <w:t xml:space="preserve">Quyết định phê duyệt tổ chức chủ trì, chủ nhiệm nhiệm vụ, kinh phí, phương thức khoán chi và thời gian thực hiện </w:t>
            </w:r>
            <w:r w:rsidR="00C65662" w:rsidRPr="00A93608">
              <w:rPr>
                <w:rFonts w:ascii="Times New Roman" w:hAnsi="Times New Roman" w:cs="Times New Roman"/>
                <w:color w:val="auto"/>
                <w:sz w:val="26"/>
                <w:szCs w:val="26"/>
              </w:rPr>
              <w:lastRenderedPageBreak/>
              <w:t>nhiệm vụ khoa học và công nghệ cấp cơ sở.</w:t>
            </w:r>
          </w:p>
        </w:tc>
      </w:tr>
      <w:tr w:rsidR="00A93608" w:rsidRPr="00A93608" w14:paraId="49708B55" w14:textId="77777777" w:rsidTr="003034FE">
        <w:tc>
          <w:tcPr>
            <w:tcW w:w="183" w:type="pct"/>
            <w:shd w:val="clear" w:color="auto" w:fill="auto"/>
          </w:tcPr>
          <w:p w14:paraId="3B2EE5A1" w14:textId="77777777" w:rsidR="00B767F5" w:rsidRPr="00A93608" w:rsidRDefault="00B767F5" w:rsidP="0063570E">
            <w:pPr>
              <w:numPr>
                <w:ilvl w:val="0"/>
                <w:numId w:val="20"/>
              </w:numPr>
              <w:spacing w:before="120" w:after="120"/>
              <w:contextualSpacing/>
              <w:jc w:val="both"/>
              <w:rPr>
                <w:rFonts w:ascii="Times New Roman" w:hAnsi="Times New Roman" w:cs="Times New Roman"/>
                <w:bCs/>
                <w:color w:val="auto"/>
                <w:sz w:val="26"/>
                <w:szCs w:val="26"/>
              </w:rPr>
            </w:pPr>
          </w:p>
        </w:tc>
        <w:tc>
          <w:tcPr>
            <w:tcW w:w="415" w:type="pct"/>
            <w:shd w:val="clear" w:color="auto" w:fill="FFFFFF"/>
          </w:tcPr>
          <w:p w14:paraId="112C15E7" w14:textId="6B0C2561" w:rsidR="00B767F5" w:rsidRPr="00A93608" w:rsidRDefault="00B767F5" w:rsidP="0021658C">
            <w:pPr>
              <w:spacing w:before="120" w:after="120"/>
              <w:contextualSpacing/>
              <w:jc w:val="both"/>
              <w:rPr>
                <w:rFonts w:ascii="Times New Roman" w:hAnsi="Times New Roman" w:cs="Times New Roman"/>
                <w:bCs/>
                <w:color w:val="auto"/>
                <w:sz w:val="26"/>
                <w:szCs w:val="26"/>
              </w:rPr>
            </w:pPr>
            <w:r w:rsidRPr="00A93608">
              <w:rPr>
                <w:rFonts w:ascii="Times New Roman" w:hAnsi="Times New Roman" w:cs="Times New Roman"/>
                <w:bCs/>
                <w:color w:val="auto"/>
                <w:sz w:val="26"/>
                <w:szCs w:val="26"/>
                <w:lang w:val="vi-VN"/>
              </w:rPr>
              <w:t>Thủ tục đánh giá, nghiệ</w:t>
            </w:r>
            <w:r w:rsidR="0021658C" w:rsidRPr="00A93608">
              <w:rPr>
                <w:rFonts w:ascii="Times New Roman" w:hAnsi="Times New Roman" w:cs="Times New Roman"/>
                <w:bCs/>
                <w:color w:val="auto"/>
                <w:sz w:val="26"/>
                <w:szCs w:val="26"/>
                <w:lang w:val="vi-VN"/>
              </w:rPr>
              <w:t xml:space="preserve">m thu </w:t>
            </w:r>
            <w:r w:rsidRPr="00A93608">
              <w:rPr>
                <w:rFonts w:ascii="Times New Roman" w:hAnsi="Times New Roman" w:cs="Times New Roman"/>
                <w:bCs/>
                <w:color w:val="auto"/>
                <w:sz w:val="26"/>
                <w:szCs w:val="26"/>
                <w:lang w:val="vi-VN"/>
              </w:rPr>
              <w:t>nhiệm vụ</w:t>
            </w:r>
            <w:r w:rsidR="002F38FF" w:rsidRPr="00A93608">
              <w:rPr>
                <w:rFonts w:ascii="Times New Roman" w:hAnsi="Times New Roman" w:cs="Times New Roman"/>
                <w:bCs/>
                <w:color w:val="auto"/>
                <w:sz w:val="26"/>
                <w:szCs w:val="26"/>
              </w:rPr>
              <w:t xml:space="preserve"> khoa học và công nghệ</w:t>
            </w:r>
            <w:r w:rsidRPr="00A93608">
              <w:rPr>
                <w:rFonts w:ascii="Times New Roman" w:hAnsi="Times New Roman" w:cs="Times New Roman"/>
                <w:bCs/>
                <w:color w:val="auto"/>
                <w:sz w:val="26"/>
                <w:szCs w:val="26"/>
                <w:lang w:val="vi-VN"/>
              </w:rPr>
              <w:t xml:space="preserve"> cấp cơ sở sử dụng ngân sách nhà nước</w:t>
            </w:r>
          </w:p>
        </w:tc>
        <w:tc>
          <w:tcPr>
            <w:tcW w:w="871" w:type="pct"/>
            <w:shd w:val="clear" w:color="auto" w:fill="FFFFFF"/>
          </w:tcPr>
          <w:p w14:paraId="6350EC2C" w14:textId="77777777" w:rsidR="00B767F5" w:rsidRPr="00A93608" w:rsidRDefault="00B767F5" w:rsidP="0063570E">
            <w:pPr>
              <w:pStyle w:val="ListParagraph"/>
              <w:spacing w:before="120" w:after="120"/>
              <w:ind w:left="0"/>
              <w:jc w:val="both"/>
              <w:rPr>
                <w:sz w:val="26"/>
                <w:szCs w:val="26"/>
                <w:lang w:bidi="vi-VN"/>
              </w:rPr>
            </w:pPr>
            <w:r w:rsidRPr="00A93608">
              <w:rPr>
                <w:iCs/>
                <w:sz w:val="26"/>
                <w:szCs w:val="26"/>
              </w:rPr>
              <w:t>- H</w:t>
            </w:r>
            <w:r w:rsidRPr="00A93608">
              <w:rPr>
                <w:sz w:val="26"/>
                <w:szCs w:val="26"/>
              </w:rPr>
              <w:t>ồ sơ đề nghị đ</w:t>
            </w:r>
            <w:r w:rsidRPr="00A93608">
              <w:rPr>
                <w:sz w:val="26"/>
                <w:szCs w:val="26"/>
                <w:lang w:val="vi-VN"/>
              </w:rPr>
              <w:t>ánh giá,</w:t>
            </w:r>
            <w:r w:rsidRPr="00A93608">
              <w:rPr>
                <w:sz w:val="26"/>
                <w:szCs w:val="26"/>
              </w:rPr>
              <w:t xml:space="preserve"> nghiệm thu kết quả thực hiện nhiệm vụ </w:t>
            </w:r>
            <w:r w:rsidRPr="00A93608">
              <w:rPr>
                <w:sz w:val="26"/>
                <w:szCs w:val="26"/>
                <w:lang w:val="vi-VN"/>
              </w:rPr>
              <w:t>khoa học và công nghệ</w:t>
            </w:r>
            <w:r w:rsidRPr="00A93608">
              <w:rPr>
                <w:sz w:val="26"/>
                <w:szCs w:val="26"/>
              </w:rPr>
              <w:t xml:space="preserve"> cấp cơ sở phải gửi đến cơ quan, đơn vị cấp cơ sở trong hạn 15 ngày kể từ</w:t>
            </w:r>
            <w:r w:rsidRPr="00A93608">
              <w:rPr>
                <w:iCs/>
                <w:sz w:val="26"/>
                <w:szCs w:val="26"/>
                <w:lang w:val="vi-VN"/>
              </w:rPr>
              <w:t xml:space="preserve"> </w:t>
            </w:r>
            <w:r w:rsidRPr="00A93608">
              <w:rPr>
                <w:iCs/>
                <w:sz w:val="26"/>
                <w:szCs w:val="26"/>
              </w:rPr>
              <w:t>ngày</w:t>
            </w:r>
            <w:r w:rsidRPr="00A93608">
              <w:rPr>
                <w:iCs/>
                <w:sz w:val="26"/>
                <w:szCs w:val="26"/>
                <w:lang w:val="vi-VN"/>
              </w:rPr>
              <w:t xml:space="preserve"> kết thúc</w:t>
            </w:r>
            <w:r w:rsidRPr="00A93608">
              <w:rPr>
                <w:iCs/>
                <w:sz w:val="26"/>
                <w:szCs w:val="26"/>
              </w:rPr>
              <w:t xml:space="preserve"> thời gian thực hiện nhiệm vụ theo</w:t>
            </w:r>
            <w:r w:rsidRPr="00A93608">
              <w:rPr>
                <w:iCs/>
                <w:sz w:val="26"/>
                <w:szCs w:val="26"/>
                <w:lang w:val="vi-VN"/>
              </w:rPr>
              <w:t xml:space="preserve"> hợp đồng</w:t>
            </w:r>
            <w:r w:rsidRPr="00A93608">
              <w:rPr>
                <w:iCs/>
                <w:sz w:val="26"/>
                <w:szCs w:val="26"/>
              </w:rPr>
              <w:t>, bao gồm cả thời gian gia hạn thực hiện nhiệm vụ (nếu có);</w:t>
            </w:r>
          </w:p>
          <w:p w14:paraId="32814919" w14:textId="77777777" w:rsidR="00B767F5" w:rsidRPr="00A93608" w:rsidRDefault="00B767F5" w:rsidP="0063570E">
            <w:pPr>
              <w:pStyle w:val="ListParagraph"/>
              <w:spacing w:before="120" w:after="120"/>
              <w:ind w:left="0"/>
              <w:jc w:val="both"/>
              <w:rPr>
                <w:sz w:val="26"/>
                <w:szCs w:val="26"/>
                <w:lang w:bidi="vi-VN"/>
              </w:rPr>
            </w:pPr>
            <w:r w:rsidRPr="00A93608">
              <w:rPr>
                <w:sz w:val="26"/>
                <w:szCs w:val="26"/>
              </w:rPr>
              <w:t xml:space="preserve">- Sau khi nhận được hồ sơ đề nghị đánh giá, nghiệm thu của tổ chức chủ trì nhiệm vụ </w:t>
            </w:r>
            <w:r w:rsidRPr="00A93608">
              <w:rPr>
                <w:iCs/>
                <w:sz w:val="26"/>
                <w:szCs w:val="26"/>
              </w:rPr>
              <w:t xml:space="preserve">cơ </w:t>
            </w:r>
            <w:r w:rsidRPr="00A93608">
              <w:rPr>
                <w:iCs/>
                <w:sz w:val="26"/>
                <w:szCs w:val="26"/>
              </w:rPr>
              <w:lastRenderedPageBreak/>
              <w:t>quan, đơn vị cấp cơ sở</w:t>
            </w:r>
            <w:r w:rsidRPr="00A93608">
              <w:rPr>
                <w:sz w:val="26"/>
                <w:szCs w:val="26"/>
                <w:lang w:bidi="vi-VN"/>
              </w:rPr>
              <w:t xml:space="preserve"> tiến hành </w:t>
            </w:r>
            <w:r w:rsidRPr="00A93608">
              <w:rPr>
                <w:iCs/>
                <w:sz w:val="26"/>
                <w:szCs w:val="26"/>
              </w:rPr>
              <w:t>k</w:t>
            </w:r>
            <w:r w:rsidRPr="00A93608">
              <w:rPr>
                <w:iCs/>
                <w:sz w:val="26"/>
                <w:szCs w:val="26"/>
                <w:lang w:val="vi-VN"/>
              </w:rPr>
              <w:t>iểm tra tính hợp lệ của hồ sơ</w:t>
            </w:r>
            <w:r w:rsidRPr="00A93608">
              <w:rPr>
                <w:sz w:val="26"/>
                <w:szCs w:val="26"/>
                <w:lang w:bidi="vi-VN"/>
              </w:rPr>
              <w:t>;</w:t>
            </w:r>
          </w:p>
          <w:p w14:paraId="24DE1A40" w14:textId="77777777" w:rsidR="00B767F5" w:rsidRPr="00A93608" w:rsidRDefault="00B767F5" w:rsidP="0063570E">
            <w:pPr>
              <w:pStyle w:val="NormalWeb"/>
              <w:widowControl w:val="0"/>
              <w:shd w:val="clear" w:color="auto" w:fill="FFFFFF"/>
              <w:spacing w:before="120" w:beforeAutospacing="0" w:after="120" w:afterAutospacing="0"/>
              <w:jc w:val="both"/>
              <w:rPr>
                <w:sz w:val="26"/>
                <w:szCs w:val="26"/>
              </w:rPr>
            </w:pPr>
            <w:r w:rsidRPr="00A93608">
              <w:rPr>
                <w:sz w:val="26"/>
                <w:szCs w:val="26"/>
              </w:rPr>
              <w:t>- Đối với nhiệm vụ khoa học và công nghệ được đánh giá “Đạt” trở lên: trong thời hạn 15 ngày kể từ ngày họp Hội đồng nghiệm thu, chủ nhiệm nhiệm vụ và tổ chức chủ trì có trách nhiệm bổ sung, hoàn chỉnh hồ sơ nhiệm vụ theo kết luận của Hội đồng, lấy ý kiến của Chủ tịch Hội đồng về việc hoàn thiện hồ sơ và gửi về cơ quan, đơn vị cấp cơ sở;</w:t>
            </w:r>
          </w:p>
          <w:p w14:paraId="77A1DEBD" w14:textId="77777777" w:rsidR="00B767F5" w:rsidRPr="00A93608" w:rsidRDefault="00B767F5" w:rsidP="0063570E">
            <w:pPr>
              <w:pStyle w:val="ListParagraph"/>
              <w:widowControl w:val="0"/>
              <w:spacing w:before="120" w:after="120"/>
              <w:ind w:left="0"/>
              <w:jc w:val="both"/>
              <w:rPr>
                <w:spacing w:val="-2"/>
                <w:sz w:val="26"/>
                <w:szCs w:val="26"/>
              </w:rPr>
            </w:pPr>
            <w:r w:rsidRPr="00A93608">
              <w:rPr>
                <w:sz w:val="26"/>
                <w:szCs w:val="26"/>
              </w:rPr>
              <w:t>- Đối với nhiệm vụ xếp loại ở mức “Không đạt”: cơ quan, đơn vị cấp cơ sở chủ trì, phối hợp với các đơn vị có liên quan tiến</w:t>
            </w:r>
            <w:r w:rsidRPr="00A93608">
              <w:rPr>
                <w:sz w:val="26"/>
                <w:szCs w:val="26"/>
                <w:lang w:val="vi-VN"/>
              </w:rPr>
              <w:t xml:space="preserve"> hành </w:t>
            </w:r>
            <w:r w:rsidRPr="00A93608">
              <w:rPr>
                <w:sz w:val="26"/>
                <w:szCs w:val="26"/>
              </w:rPr>
              <w:t>xử</w:t>
            </w:r>
            <w:r w:rsidRPr="00A93608">
              <w:rPr>
                <w:sz w:val="26"/>
                <w:szCs w:val="26"/>
                <w:lang w:val="vi-VN"/>
              </w:rPr>
              <w:t xml:space="preserve"> lý</w:t>
            </w:r>
            <w:r w:rsidRPr="00A93608">
              <w:rPr>
                <w:sz w:val="26"/>
                <w:szCs w:val="26"/>
              </w:rPr>
              <w:t xml:space="preserve"> theo quy định</w:t>
            </w:r>
            <w:r w:rsidRPr="00A93608">
              <w:rPr>
                <w:sz w:val="26"/>
                <w:szCs w:val="26"/>
                <w:lang w:val="vi-VN"/>
              </w:rPr>
              <w:t xml:space="preserve"> </w:t>
            </w:r>
            <w:r w:rsidRPr="00A93608">
              <w:rPr>
                <w:sz w:val="26"/>
                <w:szCs w:val="26"/>
              </w:rPr>
              <w:t xml:space="preserve">về xử lý </w:t>
            </w:r>
            <w:r w:rsidRPr="00A93608">
              <w:rPr>
                <w:sz w:val="26"/>
                <w:szCs w:val="26"/>
                <w:lang w:val="vi-VN"/>
              </w:rPr>
              <w:t xml:space="preserve">đối với nhiệm vụ </w:t>
            </w:r>
            <w:r w:rsidRPr="00A93608">
              <w:rPr>
                <w:sz w:val="26"/>
                <w:szCs w:val="26"/>
                <w:lang w:val="vi-VN"/>
              </w:rPr>
              <w:lastRenderedPageBreak/>
              <w:t xml:space="preserve">không hoàn thành </w:t>
            </w:r>
            <w:r w:rsidRPr="00A93608">
              <w:rPr>
                <w:sz w:val="26"/>
                <w:szCs w:val="26"/>
              </w:rPr>
              <w:t xml:space="preserve">tại Điều 16 và Điều 17 </w:t>
            </w:r>
            <w:r w:rsidRPr="00A93608">
              <w:rPr>
                <w:sz w:val="26"/>
                <w:szCs w:val="26"/>
                <w:lang w:val="da-DK"/>
              </w:rPr>
              <w:t>Thông tư liên tịch số 27/2015/TTLT-BKHCN-BTC</w:t>
            </w:r>
            <w:r w:rsidRPr="00A93608">
              <w:rPr>
                <w:sz w:val="26"/>
                <w:szCs w:val="26"/>
              </w:rPr>
              <w:t>.</w:t>
            </w:r>
          </w:p>
        </w:tc>
        <w:tc>
          <w:tcPr>
            <w:tcW w:w="458" w:type="pct"/>
            <w:shd w:val="clear" w:color="auto" w:fill="FFFFFF"/>
          </w:tcPr>
          <w:p w14:paraId="17EB0288" w14:textId="003422F3" w:rsidR="00B767F5" w:rsidRPr="00A93608" w:rsidRDefault="00114E80" w:rsidP="0063570E">
            <w:pPr>
              <w:spacing w:before="120" w:after="120"/>
              <w:jc w:val="both"/>
              <w:rPr>
                <w:rFonts w:ascii="Times New Roman" w:hAnsi="Times New Roman" w:cs="Times New Roman"/>
                <w:bCs/>
                <w:color w:val="auto"/>
                <w:sz w:val="26"/>
                <w:szCs w:val="26"/>
              </w:rPr>
            </w:pPr>
            <w:r w:rsidRPr="00A93608">
              <w:rPr>
                <w:rFonts w:ascii="Times New Roman" w:hAnsi="Times New Roman" w:cs="Times New Roman"/>
                <w:iCs/>
                <w:color w:val="auto"/>
                <w:spacing w:val="-2"/>
                <w:sz w:val="26"/>
                <w:szCs w:val="26"/>
              </w:rPr>
              <w:lastRenderedPageBreak/>
              <w:t>Cơ quan, đơn vị quản lý nhiệm vụ khoa học và công nghệ cấp cơ sở sử dụng ngân sách nhà nước</w:t>
            </w:r>
          </w:p>
        </w:tc>
        <w:tc>
          <w:tcPr>
            <w:tcW w:w="299" w:type="pct"/>
            <w:shd w:val="clear" w:color="auto" w:fill="FFFFFF"/>
          </w:tcPr>
          <w:p w14:paraId="2DCCD747" w14:textId="77777777" w:rsidR="00B767F5" w:rsidRPr="00A93608" w:rsidRDefault="00B767F5" w:rsidP="0063570E">
            <w:pPr>
              <w:spacing w:before="120" w:after="120"/>
              <w:contextualSpacing/>
              <w:jc w:val="both"/>
              <w:rPr>
                <w:rFonts w:ascii="Times New Roman" w:hAnsi="Times New Roman" w:cs="Times New Roman"/>
                <w:bCs/>
                <w:color w:val="auto"/>
                <w:sz w:val="26"/>
                <w:szCs w:val="26"/>
              </w:rPr>
            </w:pPr>
            <w:r w:rsidRPr="00A93608">
              <w:rPr>
                <w:rFonts w:ascii="Times New Roman" w:hAnsi="Times New Roman" w:cs="Times New Roman"/>
                <w:color w:val="auto"/>
                <w:sz w:val="26"/>
                <w:szCs w:val="26"/>
              </w:rPr>
              <w:t>Không</w:t>
            </w:r>
          </w:p>
        </w:tc>
        <w:tc>
          <w:tcPr>
            <w:tcW w:w="980" w:type="pct"/>
            <w:shd w:val="clear" w:color="auto" w:fill="FFFFFF"/>
          </w:tcPr>
          <w:p w14:paraId="266B774A" w14:textId="77777777" w:rsidR="00B767F5" w:rsidRPr="00A93608" w:rsidRDefault="00B767F5" w:rsidP="0063570E">
            <w:pPr>
              <w:pStyle w:val="ListParagraph"/>
              <w:widowControl w:val="0"/>
              <w:spacing w:before="120" w:after="120"/>
              <w:ind w:left="0"/>
              <w:jc w:val="both"/>
              <w:rPr>
                <w:sz w:val="26"/>
                <w:szCs w:val="26"/>
                <w:lang w:bidi="vi-VN"/>
              </w:rPr>
            </w:pPr>
            <w:r w:rsidRPr="00A93608">
              <w:rPr>
                <w:sz w:val="26"/>
                <w:szCs w:val="26"/>
                <w:lang w:bidi="vi-VN"/>
              </w:rPr>
              <w:t>- Luật khoa học và công nghệ ngày 18 tháng 6 năm 2013.</w:t>
            </w:r>
          </w:p>
          <w:p w14:paraId="03CC2A14" w14:textId="77777777" w:rsidR="00B767F5" w:rsidRPr="00A93608" w:rsidRDefault="00B767F5" w:rsidP="0063570E">
            <w:pPr>
              <w:pStyle w:val="ListParagraph"/>
              <w:widowControl w:val="0"/>
              <w:spacing w:before="120" w:after="120"/>
              <w:ind w:left="0"/>
              <w:jc w:val="both"/>
              <w:rPr>
                <w:sz w:val="26"/>
                <w:szCs w:val="26"/>
                <w:lang w:val="da-DK"/>
              </w:rPr>
            </w:pPr>
            <w:r w:rsidRPr="00A93608">
              <w:rPr>
                <w:spacing w:val="-4"/>
                <w:sz w:val="26"/>
                <w:szCs w:val="26"/>
                <w:lang w:bidi="vi-VN"/>
              </w:rPr>
              <w:t>- Nghị định số 08/2014/NĐ-CP ngày 27 tháng 01 năm 2014 của Chính phủ quy định chi tiết và hướng dẫn thi hành một số điều của Luật khoa học và công nghệ.</w:t>
            </w:r>
          </w:p>
          <w:p w14:paraId="4A76ECB9" w14:textId="77777777" w:rsidR="00B767F5" w:rsidRPr="00A93608" w:rsidRDefault="00B767F5" w:rsidP="0063570E">
            <w:pPr>
              <w:pStyle w:val="ListParagraph"/>
              <w:widowControl w:val="0"/>
              <w:spacing w:before="120" w:after="120"/>
              <w:ind w:left="0"/>
              <w:jc w:val="both"/>
              <w:rPr>
                <w:sz w:val="26"/>
                <w:szCs w:val="26"/>
                <w:lang w:val="da-DK" w:bidi="vi-VN"/>
              </w:rPr>
            </w:pPr>
            <w:r w:rsidRPr="00A93608">
              <w:rPr>
                <w:sz w:val="26"/>
                <w:szCs w:val="26"/>
                <w:lang w:val="da-DK" w:bidi="vi-VN"/>
              </w:rPr>
              <w:t xml:space="preserve">- Thông tư số 09/2024/TT-BKHCN ngày 27 tháng 12 năm 2024 của Bộ trưởng Bộ Khoa học và Công nghệ </w:t>
            </w:r>
            <w:r w:rsidRPr="00A93608">
              <w:rPr>
                <w:sz w:val="26"/>
                <w:szCs w:val="26"/>
                <w:lang w:val="vi-VN"/>
              </w:rPr>
              <w:t>q</w:t>
            </w:r>
            <w:r w:rsidRPr="00A93608">
              <w:rPr>
                <w:sz w:val="26"/>
                <w:szCs w:val="26"/>
                <w:lang w:val="da-DK"/>
              </w:rPr>
              <w:t xml:space="preserve">uy định quản lý nhiệm vụ khoa học và công nghệ </w:t>
            </w:r>
            <w:r w:rsidRPr="00A93608">
              <w:rPr>
                <w:sz w:val="26"/>
                <w:szCs w:val="26"/>
                <w:lang w:val="da-DK"/>
              </w:rPr>
              <w:lastRenderedPageBreak/>
              <w:t>cấp cơ sở, cấp cơ sở sử dụng ngân sách nhà nước</w:t>
            </w:r>
            <w:r w:rsidRPr="00A93608">
              <w:rPr>
                <w:sz w:val="26"/>
                <w:szCs w:val="26"/>
                <w:lang w:val="da-DK" w:bidi="vi-VN"/>
              </w:rPr>
              <w:t>.</w:t>
            </w:r>
          </w:p>
          <w:p w14:paraId="4F645C88" w14:textId="77777777" w:rsidR="00B767F5" w:rsidRPr="00A93608" w:rsidRDefault="00B767F5" w:rsidP="0063570E">
            <w:pPr>
              <w:pStyle w:val="ListParagraph"/>
              <w:widowControl w:val="0"/>
              <w:spacing w:before="120" w:after="120"/>
              <w:ind w:left="0"/>
              <w:jc w:val="both"/>
              <w:rPr>
                <w:sz w:val="26"/>
                <w:szCs w:val="26"/>
                <w:lang w:val="da-DK" w:bidi="vi-VN"/>
              </w:rPr>
            </w:pPr>
            <w:r w:rsidRPr="00A93608">
              <w:rPr>
                <w:sz w:val="26"/>
                <w:szCs w:val="26"/>
                <w:lang w:val="da-DK" w:bidi="vi-VN"/>
              </w:rPr>
              <w:t xml:space="preserve">- </w:t>
            </w:r>
            <w:r w:rsidRPr="00A93608">
              <w:rPr>
                <w:bCs/>
                <w:sz w:val="26"/>
                <w:szCs w:val="26"/>
                <w:lang w:val="da-DK"/>
              </w:rPr>
              <w:t>Quyết định số 45/QĐ-BKHCN ngày 15 tháng 01 năm 2025 của Bộ trưởng Bộ Khoa học và Công nghệ về việc công bố thủ tục hành chính mới ban hành trong lĩnh vực hoạt động khoa học và công nghệ thuộc phạm vi chức năng quản lý của Bộ Khoa học và Công nghệ.</w:t>
            </w:r>
          </w:p>
        </w:tc>
        <w:tc>
          <w:tcPr>
            <w:tcW w:w="1793" w:type="pct"/>
            <w:shd w:val="clear" w:color="auto" w:fill="FFFFFF"/>
          </w:tcPr>
          <w:p w14:paraId="7968ED9D" w14:textId="428A34D4" w:rsidR="00B767F5" w:rsidRPr="00A93608" w:rsidRDefault="00B767F5" w:rsidP="00BA18BE">
            <w:pPr>
              <w:spacing w:before="120" w:after="120"/>
              <w:jc w:val="both"/>
              <w:rPr>
                <w:rFonts w:ascii="Times New Roman" w:hAnsi="Times New Roman" w:cs="Times New Roman"/>
                <w:b/>
                <w:color w:val="auto"/>
                <w:sz w:val="26"/>
                <w:szCs w:val="26"/>
                <w:lang w:val="da-DK"/>
              </w:rPr>
            </w:pPr>
            <w:r w:rsidRPr="00A93608">
              <w:rPr>
                <w:rFonts w:ascii="Times New Roman" w:eastAsia="Times New Roman" w:hAnsi="Times New Roman" w:cs="Times New Roman"/>
                <w:b/>
                <w:color w:val="auto"/>
                <w:sz w:val="26"/>
                <w:szCs w:val="26"/>
                <w:lang w:val="da-DK" w:bidi="vi-VN"/>
              </w:rPr>
              <w:lastRenderedPageBreak/>
              <w:t>Kết quả giải quyết TTHC:</w:t>
            </w:r>
            <w:r w:rsidRPr="00A93608">
              <w:rPr>
                <w:rFonts w:ascii="Times New Roman" w:eastAsia="Times New Roman" w:hAnsi="Times New Roman" w:cs="Times New Roman"/>
                <w:bCs/>
                <w:color w:val="auto"/>
                <w:sz w:val="26"/>
                <w:szCs w:val="26"/>
                <w:lang w:val="da-DK" w:bidi="vi-VN"/>
              </w:rPr>
              <w:t xml:space="preserve"> </w:t>
            </w:r>
            <w:r w:rsidR="00BA18BE" w:rsidRPr="00A93608">
              <w:rPr>
                <w:rFonts w:ascii="Times New Roman" w:hAnsi="Times New Roman" w:cs="Times New Roman"/>
                <w:bCs/>
                <w:color w:val="auto"/>
                <w:sz w:val="26"/>
                <w:szCs w:val="26"/>
                <w:lang w:val="da-DK"/>
              </w:rPr>
              <w:t>Biên bản họp Hội đồng đánh giá, nghiệm thu cấp cơ sở.</w:t>
            </w:r>
          </w:p>
        </w:tc>
      </w:tr>
    </w:tbl>
    <w:p w14:paraId="0703D7E4" w14:textId="77777777" w:rsidR="00B767F5" w:rsidRPr="00A93608" w:rsidRDefault="00B767F5" w:rsidP="0063570E">
      <w:pPr>
        <w:spacing w:before="120" w:after="120"/>
        <w:contextualSpacing/>
        <w:jc w:val="both"/>
        <w:rPr>
          <w:rFonts w:ascii="Times New Roman" w:hAnsi="Times New Roman" w:cs="Times New Roman"/>
          <w:b/>
          <w:color w:val="auto"/>
          <w:sz w:val="26"/>
          <w:szCs w:val="26"/>
          <w:lang w:val="da-DK"/>
        </w:rPr>
      </w:pPr>
    </w:p>
    <w:sectPr w:rsidR="00B767F5" w:rsidRPr="00A93608" w:rsidSect="006F2DC5">
      <w:headerReference w:type="default" r:id="rId8"/>
      <w:pgSz w:w="16834" w:h="11909" w:orient="landscape" w:code="9"/>
      <w:pgMar w:top="1134" w:right="1134" w:bottom="1134" w:left="1701" w:header="720" w:footer="2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C4491" w14:textId="77777777" w:rsidR="00397A01" w:rsidRDefault="00397A01" w:rsidP="002807B0">
      <w:r>
        <w:separator/>
      </w:r>
    </w:p>
  </w:endnote>
  <w:endnote w:type="continuationSeparator" w:id="0">
    <w:p w14:paraId="61ABB527" w14:textId="77777777" w:rsidR="00397A01" w:rsidRDefault="00397A01" w:rsidP="0028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Condensed">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E6500" w14:textId="77777777" w:rsidR="00397A01" w:rsidRDefault="00397A01" w:rsidP="002807B0">
      <w:r>
        <w:separator/>
      </w:r>
    </w:p>
  </w:footnote>
  <w:footnote w:type="continuationSeparator" w:id="0">
    <w:p w14:paraId="6FEB4392" w14:textId="77777777" w:rsidR="00397A01" w:rsidRDefault="00397A01" w:rsidP="002807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142AA" w14:textId="797E2E6D" w:rsidR="00E923C7" w:rsidRPr="00E923C7" w:rsidRDefault="00E923C7">
    <w:pPr>
      <w:pStyle w:val="Header"/>
      <w:jc w:val="center"/>
      <w:rPr>
        <w:rFonts w:ascii="Times New Roman" w:hAnsi="Times New Roman"/>
        <w:sz w:val="26"/>
        <w:szCs w:val="26"/>
      </w:rPr>
    </w:pPr>
    <w:r w:rsidRPr="00E923C7">
      <w:rPr>
        <w:rFonts w:ascii="Times New Roman" w:hAnsi="Times New Roman"/>
        <w:sz w:val="26"/>
        <w:szCs w:val="26"/>
      </w:rPr>
      <w:fldChar w:fldCharType="begin"/>
    </w:r>
    <w:r w:rsidRPr="00E923C7">
      <w:rPr>
        <w:rFonts w:ascii="Times New Roman" w:hAnsi="Times New Roman"/>
        <w:sz w:val="26"/>
        <w:szCs w:val="26"/>
      </w:rPr>
      <w:instrText xml:space="preserve"> PAGE   \* MERGEFORMAT </w:instrText>
    </w:r>
    <w:r w:rsidRPr="00E923C7">
      <w:rPr>
        <w:rFonts w:ascii="Times New Roman" w:hAnsi="Times New Roman"/>
        <w:sz w:val="26"/>
        <w:szCs w:val="26"/>
      </w:rPr>
      <w:fldChar w:fldCharType="separate"/>
    </w:r>
    <w:r w:rsidR="00A93608">
      <w:rPr>
        <w:rFonts w:ascii="Times New Roman" w:hAnsi="Times New Roman"/>
        <w:noProof/>
        <w:sz w:val="26"/>
        <w:szCs w:val="26"/>
      </w:rPr>
      <w:t>1</w:t>
    </w:r>
    <w:r w:rsidRPr="00E923C7">
      <w:rPr>
        <w:rFonts w:ascii="Times New Roman" w:hAnsi="Times New Roman"/>
        <w:noProof/>
        <w:sz w:val="26"/>
        <w:szCs w:val="26"/>
      </w:rPr>
      <w:fldChar w:fldCharType="end"/>
    </w:r>
  </w:p>
  <w:p w14:paraId="06435DCE" w14:textId="48BCD697" w:rsidR="00926795" w:rsidRPr="00996B96" w:rsidRDefault="00926795">
    <w:pPr>
      <w:pStyle w:val="Header"/>
      <w:jc w:val="cent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D7EA576"/>
    <w:lvl w:ilvl="0">
      <w:start w:val="1"/>
      <w:numFmt w:val="bullet"/>
      <w:lvlText w:val=""/>
      <w:lvlJc w:val="left"/>
      <w:pPr>
        <w:tabs>
          <w:tab w:val="num" w:pos="-219"/>
        </w:tabs>
        <w:ind w:left="-219" w:firstLine="0"/>
      </w:pPr>
      <w:rPr>
        <w:rFonts w:ascii="Symbol" w:hAnsi="Symbol" w:hint="default"/>
      </w:rPr>
    </w:lvl>
    <w:lvl w:ilvl="1">
      <w:start w:val="1"/>
      <w:numFmt w:val="bullet"/>
      <w:lvlText w:val=""/>
      <w:lvlJc w:val="left"/>
      <w:pPr>
        <w:tabs>
          <w:tab w:val="num" w:pos="501"/>
        </w:tabs>
        <w:ind w:left="861" w:hanging="360"/>
      </w:pPr>
      <w:rPr>
        <w:rFonts w:ascii="Symbol" w:hAnsi="Symbol" w:hint="default"/>
      </w:rPr>
    </w:lvl>
    <w:lvl w:ilvl="2">
      <w:start w:val="1"/>
      <w:numFmt w:val="bullet"/>
      <w:lvlText w:val="o"/>
      <w:lvlJc w:val="left"/>
      <w:pPr>
        <w:tabs>
          <w:tab w:val="num" w:pos="1221"/>
        </w:tabs>
        <w:ind w:left="1581" w:hanging="360"/>
      </w:pPr>
      <w:rPr>
        <w:rFonts w:ascii="Courier New" w:hAnsi="Courier New" w:cs="Courier New" w:hint="default"/>
      </w:rPr>
    </w:lvl>
    <w:lvl w:ilvl="3">
      <w:start w:val="1"/>
      <w:numFmt w:val="bullet"/>
      <w:lvlText w:val=""/>
      <w:lvlJc w:val="left"/>
      <w:pPr>
        <w:tabs>
          <w:tab w:val="num" w:pos="1941"/>
        </w:tabs>
        <w:ind w:left="2301" w:hanging="360"/>
      </w:pPr>
      <w:rPr>
        <w:rFonts w:ascii="Wingdings" w:hAnsi="Wingdings" w:hint="default"/>
      </w:rPr>
    </w:lvl>
    <w:lvl w:ilvl="4">
      <w:start w:val="1"/>
      <w:numFmt w:val="bullet"/>
      <w:lvlText w:val=""/>
      <w:lvlJc w:val="left"/>
      <w:pPr>
        <w:tabs>
          <w:tab w:val="num" w:pos="2661"/>
        </w:tabs>
        <w:ind w:left="3021" w:hanging="360"/>
      </w:pPr>
      <w:rPr>
        <w:rFonts w:ascii="Wingdings" w:hAnsi="Wingdings" w:hint="default"/>
      </w:rPr>
    </w:lvl>
    <w:lvl w:ilvl="5">
      <w:start w:val="1"/>
      <w:numFmt w:val="bullet"/>
      <w:lvlText w:val=""/>
      <w:lvlJc w:val="left"/>
      <w:pPr>
        <w:tabs>
          <w:tab w:val="num" w:pos="3381"/>
        </w:tabs>
        <w:ind w:left="3741" w:hanging="360"/>
      </w:pPr>
      <w:rPr>
        <w:rFonts w:ascii="Symbol" w:hAnsi="Symbol" w:hint="default"/>
      </w:rPr>
    </w:lvl>
    <w:lvl w:ilvl="6">
      <w:start w:val="1"/>
      <w:numFmt w:val="bullet"/>
      <w:lvlText w:val="o"/>
      <w:lvlJc w:val="left"/>
      <w:pPr>
        <w:tabs>
          <w:tab w:val="num" w:pos="4101"/>
        </w:tabs>
        <w:ind w:left="4461" w:hanging="360"/>
      </w:pPr>
      <w:rPr>
        <w:rFonts w:ascii="Courier New" w:hAnsi="Courier New" w:cs="Courier New" w:hint="default"/>
      </w:rPr>
    </w:lvl>
    <w:lvl w:ilvl="7">
      <w:start w:val="1"/>
      <w:numFmt w:val="bullet"/>
      <w:lvlText w:val=""/>
      <w:lvlJc w:val="left"/>
      <w:pPr>
        <w:tabs>
          <w:tab w:val="num" w:pos="4821"/>
        </w:tabs>
        <w:ind w:left="5181" w:hanging="360"/>
      </w:pPr>
      <w:rPr>
        <w:rFonts w:ascii="Wingdings" w:hAnsi="Wingdings" w:hint="default"/>
      </w:rPr>
    </w:lvl>
    <w:lvl w:ilvl="8">
      <w:start w:val="1"/>
      <w:numFmt w:val="bullet"/>
      <w:lvlText w:val=""/>
      <w:lvlJc w:val="left"/>
      <w:pPr>
        <w:tabs>
          <w:tab w:val="num" w:pos="5541"/>
        </w:tabs>
        <w:ind w:left="5901" w:hanging="360"/>
      </w:pPr>
      <w:rPr>
        <w:rFonts w:ascii="Wingdings" w:hAnsi="Wingdings" w:hint="default"/>
      </w:rPr>
    </w:lvl>
  </w:abstractNum>
  <w:abstractNum w:abstractNumId="1" w15:restartNumberingAfterBreak="0">
    <w:nsid w:val="00AE53AB"/>
    <w:multiLevelType w:val="hybridMultilevel"/>
    <w:tmpl w:val="5706ECF8"/>
    <w:lvl w:ilvl="0" w:tplc="955A1F5C">
      <w:numFmt w:val="bullet"/>
      <w:lvlText w:val="-"/>
      <w:lvlJc w:val="left"/>
      <w:pPr>
        <w:ind w:left="524" w:hanging="360"/>
      </w:pPr>
      <w:rPr>
        <w:rFonts w:ascii="Times New Roman" w:eastAsia="Times New Roman" w:hAnsi="Times New Roman" w:cs="Times New Roman" w:hint="default"/>
        <w:i w:val="0"/>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2" w15:restartNumberingAfterBreak="0">
    <w:nsid w:val="086E203C"/>
    <w:multiLevelType w:val="hybridMultilevel"/>
    <w:tmpl w:val="C430EB78"/>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56CE6"/>
    <w:multiLevelType w:val="hybridMultilevel"/>
    <w:tmpl w:val="9DA8D806"/>
    <w:lvl w:ilvl="0" w:tplc="50B0F390">
      <w:numFmt w:val="bullet"/>
      <w:lvlText w:val="-"/>
      <w:lvlJc w:val="left"/>
      <w:pPr>
        <w:ind w:left="456" w:hanging="360"/>
      </w:pPr>
      <w:rPr>
        <w:rFonts w:ascii="Times New Roman" w:eastAsia="DejaVu Sans Condensed" w:hAnsi="Times New Roman" w:cs="Times New Roman"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 w15:restartNumberingAfterBreak="0">
    <w:nsid w:val="0F295CF0"/>
    <w:multiLevelType w:val="hybridMultilevel"/>
    <w:tmpl w:val="04AEBF5A"/>
    <w:lvl w:ilvl="0" w:tplc="AA76000C">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995FD8"/>
    <w:multiLevelType w:val="hybridMultilevel"/>
    <w:tmpl w:val="1DE41360"/>
    <w:lvl w:ilvl="0" w:tplc="B5F898D8">
      <w:start w:val="75"/>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42BCF"/>
    <w:multiLevelType w:val="hybridMultilevel"/>
    <w:tmpl w:val="96A229EC"/>
    <w:lvl w:ilvl="0" w:tplc="CAAA7FA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27E50CE"/>
    <w:multiLevelType w:val="hybridMultilevel"/>
    <w:tmpl w:val="78D644EE"/>
    <w:lvl w:ilvl="0" w:tplc="A5B8FD64">
      <w:start w:val="1"/>
      <w:numFmt w:val="decimal"/>
      <w:lvlText w:val="%1"/>
      <w:lvlJc w:val="center"/>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15:restartNumberingAfterBreak="0">
    <w:nsid w:val="332F4620"/>
    <w:multiLevelType w:val="hybridMultilevel"/>
    <w:tmpl w:val="978A0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25719"/>
    <w:multiLevelType w:val="hybridMultilevel"/>
    <w:tmpl w:val="2876B19A"/>
    <w:lvl w:ilvl="0" w:tplc="701C4F36">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026D"/>
    <w:multiLevelType w:val="hybridMultilevel"/>
    <w:tmpl w:val="7A78CAC2"/>
    <w:lvl w:ilvl="0" w:tplc="0A2C8B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B4012"/>
    <w:multiLevelType w:val="hybridMultilevel"/>
    <w:tmpl w:val="A2922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2108A"/>
    <w:multiLevelType w:val="hybridMultilevel"/>
    <w:tmpl w:val="325C7580"/>
    <w:lvl w:ilvl="0" w:tplc="0A8A9824">
      <w:numFmt w:val="bullet"/>
      <w:lvlText w:val="-"/>
      <w:lvlJc w:val="left"/>
      <w:pPr>
        <w:ind w:left="335" w:hanging="360"/>
      </w:pPr>
      <w:rPr>
        <w:rFonts w:ascii="Times New Roman" w:eastAsia="DejaVu Sans Condensed" w:hAnsi="Times New Roman" w:cs="Times New Roman" w:hint="default"/>
        <w:b/>
      </w:rPr>
    </w:lvl>
    <w:lvl w:ilvl="1" w:tplc="04090003" w:tentative="1">
      <w:start w:val="1"/>
      <w:numFmt w:val="bullet"/>
      <w:lvlText w:val="o"/>
      <w:lvlJc w:val="left"/>
      <w:pPr>
        <w:ind w:left="1055" w:hanging="360"/>
      </w:pPr>
      <w:rPr>
        <w:rFonts w:ascii="Courier New" w:hAnsi="Courier New" w:cs="Courier New" w:hint="default"/>
      </w:rPr>
    </w:lvl>
    <w:lvl w:ilvl="2" w:tplc="04090005" w:tentative="1">
      <w:start w:val="1"/>
      <w:numFmt w:val="bullet"/>
      <w:lvlText w:val=""/>
      <w:lvlJc w:val="left"/>
      <w:pPr>
        <w:ind w:left="1775" w:hanging="360"/>
      </w:pPr>
      <w:rPr>
        <w:rFonts w:ascii="Wingdings" w:hAnsi="Wingdings" w:hint="default"/>
      </w:rPr>
    </w:lvl>
    <w:lvl w:ilvl="3" w:tplc="04090001" w:tentative="1">
      <w:start w:val="1"/>
      <w:numFmt w:val="bullet"/>
      <w:lvlText w:val=""/>
      <w:lvlJc w:val="left"/>
      <w:pPr>
        <w:ind w:left="2495" w:hanging="360"/>
      </w:pPr>
      <w:rPr>
        <w:rFonts w:ascii="Symbol" w:hAnsi="Symbol" w:hint="default"/>
      </w:rPr>
    </w:lvl>
    <w:lvl w:ilvl="4" w:tplc="04090003" w:tentative="1">
      <w:start w:val="1"/>
      <w:numFmt w:val="bullet"/>
      <w:lvlText w:val="o"/>
      <w:lvlJc w:val="left"/>
      <w:pPr>
        <w:ind w:left="3215" w:hanging="360"/>
      </w:pPr>
      <w:rPr>
        <w:rFonts w:ascii="Courier New" w:hAnsi="Courier New" w:cs="Courier New" w:hint="default"/>
      </w:rPr>
    </w:lvl>
    <w:lvl w:ilvl="5" w:tplc="04090005" w:tentative="1">
      <w:start w:val="1"/>
      <w:numFmt w:val="bullet"/>
      <w:lvlText w:val=""/>
      <w:lvlJc w:val="left"/>
      <w:pPr>
        <w:ind w:left="3935" w:hanging="360"/>
      </w:pPr>
      <w:rPr>
        <w:rFonts w:ascii="Wingdings" w:hAnsi="Wingdings" w:hint="default"/>
      </w:rPr>
    </w:lvl>
    <w:lvl w:ilvl="6" w:tplc="04090001" w:tentative="1">
      <w:start w:val="1"/>
      <w:numFmt w:val="bullet"/>
      <w:lvlText w:val=""/>
      <w:lvlJc w:val="left"/>
      <w:pPr>
        <w:ind w:left="4655" w:hanging="360"/>
      </w:pPr>
      <w:rPr>
        <w:rFonts w:ascii="Symbol" w:hAnsi="Symbol" w:hint="default"/>
      </w:rPr>
    </w:lvl>
    <w:lvl w:ilvl="7" w:tplc="04090003" w:tentative="1">
      <w:start w:val="1"/>
      <w:numFmt w:val="bullet"/>
      <w:lvlText w:val="o"/>
      <w:lvlJc w:val="left"/>
      <w:pPr>
        <w:ind w:left="5375" w:hanging="360"/>
      </w:pPr>
      <w:rPr>
        <w:rFonts w:ascii="Courier New" w:hAnsi="Courier New" w:cs="Courier New" w:hint="default"/>
      </w:rPr>
    </w:lvl>
    <w:lvl w:ilvl="8" w:tplc="04090005" w:tentative="1">
      <w:start w:val="1"/>
      <w:numFmt w:val="bullet"/>
      <w:lvlText w:val=""/>
      <w:lvlJc w:val="left"/>
      <w:pPr>
        <w:ind w:left="6095" w:hanging="360"/>
      </w:pPr>
      <w:rPr>
        <w:rFonts w:ascii="Wingdings" w:hAnsi="Wingdings" w:hint="default"/>
      </w:rPr>
    </w:lvl>
  </w:abstractNum>
  <w:abstractNum w:abstractNumId="13" w15:restartNumberingAfterBreak="0">
    <w:nsid w:val="48F75D4F"/>
    <w:multiLevelType w:val="hybridMultilevel"/>
    <w:tmpl w:val="D3006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1D4EA9"/>
    <w:multiLevelType w:val="hybridMultilevel"/>
    <w:tmpl w:val="C7DCC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7908A5"/>
    <w:multiLevelType w:val="hybridMultilevel"/>
    <w:tmpl w:val="F4761350"/>
    <w:lvl w:ilvl="0" w:tplc="6234D35C">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33FEB"/>
    <w:multiLevelType w:val="hybridMultilevel"/>
    <w:tmpl w:val="2D324310"/>
    <w:lvl w:ilvl="0" w:tplc="42F05F96">
      <w:start w:val="1"/>
      <w:numFmt w:val="decimal"/>
      <w:lvlText w:val="%1"/>
      <w:lvlJc w:val="center"/>
      <w:pPr>
        <w:ind w:left="502" w:hanging="360"/>
      </w:pPr>
      <w:rPr>
        <w:rFonts w:hint="default"/>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70C342E2"/>
    <w:multiLevelType w:val="hybridMultilevel"/>
    <w:tmpl w:val="5B6CCB16"/>
    <w:lvl w:ilvl="0" w:tplc="145A1880">
      <w:numFmt w:val="bullet"/>
      <w:lvlText w:val="-"/>
      <w:lvlJc w:val="left"/>
      <w:pPr>
        <w:ind w:left="579" w:hanging="360"/>
      </w:pPr>
      <w:rPr>
        <w:rFonts w:ascii="Times New Roman" w:eastAsia="DejaVu Sans Condensed" w:hAnsi="Times New Roman" w:cs="Times New Roman" w:hint="default"/>
      </w:rPr>
    </w:lvl>
    <w:lvl w:ilvl="1" w:tplc="04090003" w:tentative="1">
      <w:start w:val="1"/>
      <w:numFmt w:val="bullet"/>
      <w:lvlText w:val="o"/>
      <w:lvlJc w:val="left"/>
      <w:pPr>
        <w:ind w:left="1299" w:hanging="360"/>
      </w:pPr>
      <w:rPr>
        <w:rFonts w:ascii="Courier New" w:hAnsi="Courier New" w:cs="Courier New" w:hint="default"/>
      </w:rPr>
    </w:lvl>
    <w:lvl w:ilvl="2" w:tplc="04090005" w:tentative="1">
      <w:start w:val="1"/>
      <w:numFmt w:val="bullet"/>
      <w:lvlText w:val=""/>
      <w:lvlJc w:val="left"/>
      <w:pPr>
        <w:ind w:left="2019" w:hanging="360"/>
      </w:pPr>
      <w:rPr>
        <w:rFonts w:ascii="Wingdings" w:hAnsi="Wingdings" w:hint="default"/>
      </w:rPr>
    </w:lvl>
    <w:lvl w:ilvl="3" w:tplc="04090001" w:tentative="1">
      <w:start w:val="1"/>
      <w:numFmt w:val="bullet"/>
      <w:lvlText w:val=""/>
      <w:lvlJc w:val="left"/>
      <w:pPr>
        <w:ind w:left="2739" w:hanging="360"/>
      </w:pPr>
      <w:rPr>
        <w:rFonts w:ascii="Symbol" w:hAnsi="Symbol" w:hint="default"/>
      </w:rPr>
    </w:lvl>
    <w:lvl w:ilvl="4" w:tplc="04090003" w:tentative="1">
      <w:start w:val="1"/>
      <w:numFmt w:val="bullet"/>
      <w:lvlText w:val="o"/>
      <w:lvlJc w:val="left"/>
      <w:pPr>
        <w:ind w:left="3459" w:hanging="360"/>
      </w:pPr>
      <w:rPr>
        <w:rFonts w:ascii="Courier New" w:hAnsi="Courier New" w:cs="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cs="Courier New" w:hint="default"/>
      </w:rPr>
    </w:lvl>
    <w:lvl w:ilvl="8" w:tplc="04090005" w:tentative="1">
      <w:start w:val="1"/>
      <w:numFmt w:val="bullet"/>
      <w:lvlText w:val=""/>
      <w:lvlJc w:val="left"/>
      <w:pPr>
        <w:ind w:left="6339" w:hanging="360"/>
      </w:pPr>
      <w:rPr>
        <w:rFonts w:ascii="Wingdings" w:hAnsi="Wingdings" w:hint="default"/>
      </w:rPr>
    </w:lvl>
  </w:abstractNum>
  <w:abstractNum w:abstractNumId="18" w15:restartNumberingAfterBreak="0">
    <w:nsid w:val="74FB20C3"/>
    <w:multiLevelType w:val="multilevel"/>
    <w:tmpl w:val="12800804"/>
    <w:lvl w:ilvl="0">
      <w:numFmt w:val="bullet"/>
      <w:suff w:val="space"/>
      <w:lvlText w:val="-"/>
      <w:lvlJc w:val="left"/>
      <w:pPr>
        <w:ind w:left="0" w:firstLine="720"/>
      </w:pPr>
      <w:rPr>
        <w:rFonts w:ascii="Times New Roman" w:hAnsi="Times New Roman" w:cs="Times New Roman" w:hint="default"/>
        <w:b w:val="0"/>
        <w:bCs w:val="0"/>
        <w:i w:val="0"/>
        <w:iCs w:val="0"/>
        <w:smallCaps w:val="0"/>
        <w:strike w:val="0"/>
        <w:color w:val="000000"/>
        <w:spacing w:val="0"/>
        <w:w w:val="100"/>
        <w:position w:val="0"/>
        <w:sz w:val="28"/>
        <w:szCs w:val="26"/>
        <w:u w:val="none"/>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77831B94"/>
    <w:multiLevelType w:val="hybridMultilevel"/>
    <w:tmpl w:val="32BA8C5A"/>
    <w:lvl w:ilvl="0" w:tplc="5EDEFC3C">
      <w:start w:val="8"/>
      <w:numFmt w:val="bullet"/>
      <w:lvlText w:val=""/>
      <w:lvlJc w:val="left"/>
      <w:pPr>
        <w:ind w:left="665" w:hanging="360"/>
      </w:pPr>
      <w:rPr>
        <w:rFonts w:ascii="Symbol" w:eastAsia="DejaVu Sans Condensed" w:hAnsi="Symbol" w:cs="Times New Roman" w:hint="default"/>
        <w:color w:val="FF0000"/>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20" w15:restartNumberingAfterBreak="0">
    <w:nsid w:val="79CC6669"/>
    <w:multiLevelType w:val="hybridMultilevel"/>
    <w:tmpl w:val="5FF82E88"/>
    <w:lvl w:ilvl="0" w:tplc="ABE28FF6">
      <w:start w:val="2"/>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4"/>
  </w:num>
  <w:num w:numId="4">
    <w:abstractNumId w:val="19"/>
  </w:num>
  <w:num w:numId="5">
    <w:abstractNumId w:val="9"/>
  </w:num>
  <w:num w:numId="6">
    <w:abstractNumId w:val="1"/>
  </w:num>
  <w:num w:numId="7">
    <w:abstractNumId w:val="3"/>
  </w:num>
  <w:num w:numId="8">
    <w:abstractNumId w:val="0"/>
  </w:num>
  <w:num w:numId="9">
    <w:abstractNumId w:val="2"/>
  </w:num>
  <w:num w:numId="10">
    <w:abstractNumId w:val="10"/>
  </w:num>
  <w:num w:numId="11">
    <w:abstractNumId w:val="8"/>
  </w:num>
  <w:num w:numId="12">
    <w:abstractNumId w:val="17"/>
  </w:num>
  <w:num w:numId="13">
    <w:abstractNumId w:val="20"/>
  </w:num>
  <w:num w:numId="14">
    <w:abstractNumId w:val="11"/>
  </w:num>
  <w:num w:numId="15">
    <w:abstractNumId w:val="15"/>
  </w:num>
  <w:num w:numId="16">
    <w:abstractNumId w:val="13"/>
  </w:num>
  <w:num w:numId="17">
    <w:abstractNumId w:val="18"/>
  </w:num>
  <w:num w:numId="18">
    <w:abstractNumId w:val="6"/>
  </w:num>
  <w:num w:numId="19">
    <w:abstractNumId w:val="16"/>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B0"/>
    <w:rsid w:val="00001A12"/>
    <w:rsid w:val="000047F6"/>
    <w:rsid w:val="0001006D"/>
    <w:rsid w:val="00011732"/>
    <w:rsid w:val="0001420E"/>
    <w:rsid w:val="000213AB"/>
    <w:rsid w:val="00021410"/>
    <w:rsid w:val="0002266F"/>
    <w:rsid w:val="00023F01"/>
    <w:rsid w:val="00023F14"/>
    <w:rsid w:val="00025C90"/>
    <w:rsid w:val="00026567"/>
    <w:rsid w:val="00030B66"/>
    <w:rsid w:val="00030D20"/>
    <w:rsid w:val="000359D1"/>
    <w:rsid w:val="00035DF0"/>
    <w:rsid w:val="000364B8"/>
    <w:rsid w:val="00037CA5"/>
    <w:rsid w:val="00043488"/>
    <w:rsid w:val="000548E1"/>
    <w:rsid w:val="00055EBF"/>
    <w:rsid w:val="0006403D"/>
    <w:rsid w:val="00064BC5"/>
    <w:rsid w:val="00064DE3"/>
    <w:rsid w:val="00066B6B"/>
    <w:rsid w:val="0007139B"/>
    <w:rsid w:val="00072D68"/>
    <w:rsid w:val="000736B9"/>
    <w:rsid w:val="00073944"/>
    <w:rsid w:val="00075552"/>
    <w:rsid w:val="000766EB"/>
    <w:rsid w:val="0008514F"/>
    <w:rsid w:val="000852E0"/>
    <w:rsid w:val="00085354"/>
    <w:rsid w:val="00085EC0"/>
    <w:rsid w:val="00090769"/>
    <w:rsid w:val="000913B4"/>
    <w:rsid w:val="00092DC1"/>
    <w:rsid w:val="00094F30"/>
    <w:rsid w:val="000958E4"/>
    <w:rsid w:val="00095C81"/>
    <w:rsid w:val="00096881"/>
    <w:rsid w:val="00096B6B"/>
    <w:rsid w:val="000979A6"/>
    <w:rsid w:val="000A62C6"/>
    <w:rsid w:val="000B04A5"/>
    <w:rsid w:val="000B3FCD"/>
    <w:rsid w:val="000B5436"/>
    <w:rsid w:val="000C2413"/>
    <w:rsid w:val="000C3DDB"/>
    <w:rsid w:val="000D2F2D"/>
    <w:rsid w:val="000D38E8"/>
    <w:rsid w:val="000E19DC"/>
    <w:rsid w:val="000E3875"/>
    <w:rsid w:val="000F005A"/>
    <w:rsid w:val="000F224D"/>
    <w:rsid w:val="000F38AE"/>
    <w:rsid w:val="000F3A20"/>
    <w:rsid w:val="000F680E"/>
    <w:rsid w:val="000F6DD5"/>
    <w:rsid w:val="001017A7"/>
    <w:rsid w:val="001018FB"/>
    <w:rsid w:val="001031B8"/>
    <w:rsid w:val="00104343"/>
    <w:rsid w:val="001066D4"/>
    <w:rsid w:val="001070FD"/>
    <w:rsid w:val="00111340"/>
    <w:rsid w:val="00114E80"/>
    <w:rsid w:val="0011718D"/>
    <w:rsid w:val="001172E7"/>
    <w:rsid w:val="001212F6"/>
    <w:rsid w:val="001318E7"/>
    <w:rsid w:val="00136F64"/>
    <w:rsid w:val="00152435"/>
    <w:rsid w:val="00152C02"/>
    <w:rsid w:val="00157056"/>
    <w:rsid w:val="00161AC1"/>
    <w:rsid w:val="00162749"/>
    <w:rsid w:val="00166E5A"/>
    <w:rsid w:val="00172C02"/>
    <w:rsid w:val="00174E83"/>
    <w:rsid w:val="001762C1"/>
    <w:rsid w:val="00183560"/>
    <w:rsid w:val="00183A42"/>
    <w:rsid w:val="00184366"/>
    <w:rsid w:val="00184F93"/>
    <w:rsid w:val="00184FB4"/>
    <w:rsid w:val="00187F0D"/>
    <w:rsid w:val="00192CF3"/>
    <w:rsid w:val="00196A31"/>
    <w:rsid w:val="001A0BD0"/>
    <w:rsid w:val="001A2445"/>
    <w:rsid w:val="001A3640"/>
    <w:rsid w:val="001A6254"/>
    <w:rsid w:val="001A6280"/>
    <w:rsid w:val="001B2328"/>
    <w:rsid w:val="001B55BE"/>
    <w:rsid w:val="001B663A"/>
    <w:rsid w:val="001C105C"/>
    <w:rsid w:val="001C188B"/>
    <w:rsid w:val="001C32A6"/>
    <w:rsid w:val="001C4EDF"/>
    <w:rsid w:val="001C61BF"/>
    <w:rsid w:val="001D3ABE"/>
    <w:rsid w:val="001D7F78"/>
    <w:rsid w:val="001E102F"/>
    <w:rsid w:val="001E36DE"/>
    <w:rsid w:val="001E52F5"/>
    <w:rsid w:val="001F2071"/>
    <w:rsid w:val="001F2C91"/>
    <w:rsid w:val="001F31CC"/>
    <w:rsid w:val="001F3F27"/>
    <w:rsid w:val="00203436"/>
    <w:rsid w:val="00203C73"/>
    <w:rsid w:val="00207569"/>
    <w:rsid w:val="00215722"/>
    <w:rsid w:val="0021658C"/>
    <w:rsid w:val="002215A8"/>
    <w:rsid w:val="00226810"/>
    <w:rsid w:val="00226B2F"/>
    <w:rsid w:val="002323CF"/>
    <w:rsid w:val="00233087"/>
    <w:rsid w:val="002346F7"/>
    <w:rsid w:val="002400C4"/>
    <w:rsid w:val="00240CF3"/>
    <w:rsid w:val="00241806"/>
    <w:rsid w:val="002515A6"/>
    <w:rsid w:val="00253556"/>
    <w:rsid w:val="00256BB3"/>
    <w:rsid w:val="00260157"/>
    <w:rsid w:val="00263CE2"/>
    <w:rsid w:val="002665F3"/>
    <w:rsid w:val="002674F4"/>
    <w:rsid w:val="002753BC"/>
    <w:rsid w:val="002807B0"/>
    <w:rsid w:val="00281478"/>
    <w:rsid w:val="002822D2"/>
    <w:rsid w:val="00287047"/>
    <w:rsid w:val="00287B80"/>
    <w:rsid w:val="00291C50"/>
    <w:rsid w:val="00291FD4"/>
    <w:rsid w:val="00294D6D"/>
    <w:rsid w:val="0029608D"/>
    <w:rsid w:val="0029640D"/>
    <w:rsid w:val="002A1D3A"/>
    <w:rsid w:val="002A3D5D"/>
    <w:rsid w:val="002B14F3"/>
    <w:rsid w:val="002B17C1"/>
    <w:rsid w:val="002B1FD1"/>
    <w:rsid w:val="002B321E"/>
    <w:rsid w:val="002B5635"/>
    <w:rsid w:val="002B5A33"/>
    <w:rsid w:val="002C0706"/>
    <w:rsid w:val="002C6703"/>
    <w:rsid w:val="002C7D8E"/>
    <w:rsid w:val="002D2094"/>
    <w:rsid w:val="002D623E"/>
    <w:rsid w:val="002D6338"/>
    <w:rsid w:val="002E2EEE"/>
    <w:rsid w:val="002E77BD"/>
    <w:rsid w:val="002F1638"/>
    <w:rsid w:val="002F38FF"/>
    <w:rsid w:val="003034AC"/>
    <w:rsid w:val="00305803"/>
    <w:rsid w:val="0030642E"/>
    <w:rsid w:val="0030749E"/>
    <w:rsid w:val="003101FD"/>
    <w:rsid w:val="00310F78"/>
    <w:rsid w:val="00312C19"/>
    <w:rsid w:val="003134BB"/>
    <w:rsid w:val="0031544C"/>
    <w:rsid w:val="003162DE"/>
    <w:rsid w:val="00326D03"/>
    <w:rsid w:val="0033009C"/>
    <w:rsid w:val="003309E3"/>
    <w:rsid w:val="0033179C"/>
    <w:rsid w:val="00342FCB"/>
    <w:rsid w:val="003437E9"/>
    <w:rsid w:val="0034447B"/>
    <w:rsid w:val="003476D9"/>
    <w:rsid w:val="00355276"/>
    <w:rsid w:val="0035580A"/>
    <w:rsid w:val="00360849"/>
    <w:rsid w:val="00365873"/>
    <w:rsid w:val="00366D91"/>
    <w:rsid w:val="00372BE5"/>
    <w:rsid w:val="0037349A"/>
    <w:rsid w:val="00374F7D"/>
    <w:rsid w:val="00380CA4"/>
    <w:rsid w:val="003858C0"/>
    <w:rsid w:val="00392B2B"/>
    <w:rsid w:val="00397A01"/>
    <w:rsid w:val="003A4F1C"/>
    <w:rsid w:val="003B2AE8"/>
    <w:rsid w:val="003B38B9"/>
    <w:rsid w:val="003B60DF"/>
    <w:rsid w:val="003B7069"/>
    <w:rsid w:val="003C0E1F"/>
    <w:rsid w:val="003C2C4A"/>
    <w:rsid w:val="003C4AAA"/>
    <w:rsid w:val="003C7119"/>
    <w:rsid w:val="003D41AE"/>
    <w:rsid w:val="003E0714"/>
    <w:rsid w:val="003E21CB"/>
    <w:rsid w:val="003F0356"/>
    <w:rsid w:val="003F2556"/>
    <w:rsid w:val="003F6722"/>
    <w:rsid w:val="0040035F"/>
    <w:rsid w:val="004030BE"/>
    <w:rsid w:val="00404668"/>
    <w:rsid w:val="0041128B"/>
    <w:rsid w:val="00411999"/>
    <w:rsid w:val="00412FE8"/>
    <w:rsid w:val="00415BBE"/>
    <w:rsid w:val="00416091"/>
    <w:rsid w:val="00417183"/>
    <w:rsid w:val="004177B4"/>
    <w:rsid w:val="0042073E"/>
    <w:rsid w:val="004219B6"/>
    <w:rsid w:val="00423489"/>
    <w:rsid w:val="00425991"/>
    <w:rsid w:val="00430EF8"/>
    <w:rsid w:val="00431EBA"/>
    <w:rsid w:val="00435C5C"/>
    <w:rsid w:val="00437CBD"/>
    <w:rsid w:val="00444969"/>
    <w:rsid w:val="00444D46"/>
    <w:rsid w:val="0044685B"/>
    <w:rsid w:val="00452D45"/>
    <w:rsid w:val="00453E78"/>
    <w:rsid w:val="00453EDB"/>
    <w:rsid w:val="0045520F"/>
    <w:rsid w:val="00456B1E"/>
    <w:rsid w:val="00462D3C"/>
    <w:rsid w:val="004649D4"/>
    <w:rsid w:val="00465D7A"/>
    <w:rsid w:val="00466127"/>
    <w:rsid w:val="00466593"/>
    <w:rsid w:val="00470041"/>
    <w:rsid w:val="00470715"/>
    <w:rsid w:val="00470C6B"/>
    <w:rsid w:val="00471E59"/>
    <w:rsid w:val="0047306A"/>
    <w:rsid w:val="00475D46"/>
    <w:rsid w:val="00475D6B"/>
    <w:rsid w:val="004777AC"/>
    <w:rsid w:val="0048015C"/>
    <w:rsid w:val="0048430A"/>
    <w:rsid w:val="00484ACF"/>
    <w:rsid w:val="00485A7A"/>
    <w:rsid w:val="004A01E8"/>
    <w:rsid w:val="004A2569"/>
    <w:rsid w:val="004A6F99"/>
    <w:rsid w:val="004B4484"/>
    <w:rsid w:val="004B598C"/>
    <w:rsid w:val="004B6719"/>
    <w:rsid w:val="004B740A"/>
    <w:rsid w:val="004B761E"/>
    <w:rsid w:val="004B7764"/>
    <w:rsid w:val="004B7FC6"/>
    <w:rsid w:val="004C0604"/>
    <w:rsid w:val="004C0F05"/>
    <w:rsid w:val="004C1A17"/>
    <w:rsid w:val="004C5FCB"/>
    <w:rsid w:val="004C742E"/>
    <w:rsid w:val="004D00CF"/>
    <w:rsid w:val="004D01C1"/>
    <w:rsid w:val="004D10CE"/>
    <w:rsid w:val="004D42E9"/>
    <w:rsid w:val="004E1C7D"/>
    <w:rsid w:val="004E2804"/>
    <w:rsid w:val="004F32FB"/>
    <w:rsid w:val="004F7BC1"/>
    <w:rsid w:val="0050127E"/>
    <w:rsid w:val="00503EE6"/>
    <w:rsid w:val="0050403B"/>
    <w:rsid w:val="005044C9"/>
    <w:rsid w:val="00505EAD"/>
    <w:rsid w:val="00517507"/>
    <w:rsid w:val="0052057B"/>
    <w:rsid w:val="005223A3"/>
    <w:rsid w:val="00525F33"/>
    <w:rsid w:val="00531F46"/>
    <w:rsid w:val="00535018"/>
    <w:rsid w:val="00535135"/>
    <w:rsid w:val="0054010D"/>
    <w:rsid w:val="005409EA"/>
    <w:rsid w:val="00542297"/>
    <w:rsid w:val="00544531"/>
    <w:rsid w:val="005477A1"/>
    <w:rsid w:val="00562431"/>
    <w:rsid w:val="0056345D"/>
    <w:rsid w:val="00570370"/>
    <w:rsid w:val="005727D2"/>
    <w:rsid w:val="00584084"/>
    <w:rsid w:val="00587D24"/>
    <w:rsid w:val="00590455"/>
    <w:rsid w:val="00593B6E"/>
    <w:rsid w:val="00594DD6"/>
    <w:rsid w:val="00597F42"/>
    <w:rsid w:val="005A5C00"/>
    <w:rsid w:val="005A701F"/>
    <w:rsid w:val="005B07B3"/>
    <w:rsid w:val="005B26D2"/>
    <w:rsid w:val="005B3A0F"/>
    <w:rsid w:val="005B4DAA"/>
    <w:rsid w:val="005B547B"/>
    <w:rsid w:val="005B70FB"/>
    <w:rsid w:val="005C1EC5"/>
    <w:rsid w:val="005C2B3D"/>
    <w:rsid w:val="005C2FCC"/>
    <w:rsid w:val="005C6B53"/>
    <w:rsid w:val="005C7275"/>
    <w:rsid w:val="005D0354"/>
    <w:rsid w:val="005D186F"/>
    <w:rsid w:val="005D2970"/>
    <w:rsid w:val="005D3878"/>
    <w:rsid w:val="005D3D18"/>
    <w:rsid w:val="005D5AD8"/>
    <w:rsid w:val="005E20B7"/>
    <w:rsid w:val="005E2DE3"/>
    <w:rsid w:val="005E48F9"/>
    <w:rsid w:val="005E6D54"/>
    <w:rsid w:val="005E775A"/>
    <w:rsid w:val="00602C97"/>
    <w:rsid w:val="0060436C"/>
    <w:rsid w:val="00605600"/>
    <w:rsid w:val="00612F13"/>
    <w:rsid w:val="006130E0"/>
    <w:rsid w:val="00621945"/>
    <w:rsid w:val="00624AD2"/>
    <w:rsid w:val="00624CA9"/>
    <w:rsid w:val="00626977"/>
    <w:rsid w:val="00627509"/>
    <w:rsid w:val="0063570E"/>
    <w:rsid w:val="00643430"/>
    <w:rsid w:val="0065165F"/>
    <w:rsid w:val="00651DF2"/>
    <w:rsid w:val="0065428B"/>
    <w:rsid w:val="006549F2"/>
    <w:rsid w:val="00661E6F"/>
    <w:rsid w:val="006648A8"/>
    <w:rsid w:val="0066528A"/>
    <w:rsid w:val="00666294"/>
    <w:rsid w:val="00666AA3"/>
    <w:rsid w:val="00673786"/>
    <w:rsid w:val="006802D4"/>
    <w:rsid w:val="006A135B"/>
    <w:rsid w:val="006A52FC"/>
    <w:rsid w:val="006A5355"/>
    <w:rsid w:val="006A5895"/>
    <w:rsid w:val="006A7531"/>
    <w:rsid w:val="006B279A"/>
    <w:rsid w:val="006B5898"/>
    <w:rsid w:val="006C5934"/>
    <w:rsid w:val="006C6980"/>
    <w:rsid w:val="006C72A8"/>
    <w:rsid w:val="006D18E7"/>
    <w:rsid w:val="006D2A68"/>
    <w:rsid w:val="006D5C0D"/>
    <w:rsid w:val="006D6346"/>
    <w:rsid w:val="006E0EC6"/>
    <w:rsid w:val="006E3690"/>
    <w:rsid w:val="006F04A9"/>
    <w:rsid w:val="006F096A"/>
    <w:rsid w:val="006F1C9B"/>
    <w:rsid w:val="006F2DC5"/>
    <w:rsid w:val="006F3242"/>
    <w:rsid w:val="006F343D"/>
    <w:rsid w:val="00701931"/>
    <w:rsid w:val="00720C58"/>
    <w:rsid w:val="007216E1"/>
    <w:rsid w:val="00722D35"/>
    <w:rsid w:val="00724743"/>
    <w:rsid w:val="0073371F"/>
    <w:rsid w:val="0073429F"/>
    <w:rsid w:val="00734910"/>
    <w:rsid w:val="007437C9"/>
    <w:rsid w:val="007441CD"/>
    <w:rsid w:val="00745F67"/>
    <w:rsid w:val="00746405"/>
    <w:rsid w:val="00756C38"/>
    <w:rsid w:val="007575B9"/>
    <w:rsid w:val="00757745"/>
    <w:rsid w:val="007606B9"/>
    <w:rsid w:val="00762D11"/>
    <w:rsid w:val="00763CDD"/>
    <w:rsid w:val="00766317"/>
    <w:rsid w:val="0076664D"/>
    <w:rsid w:val="0076721F"/>
    <w:rsid w:val="007738F2"/>
    <w:rsid w:val="007759A9"/>
    <w:rsid w:val="00777D97"/>
    <w:rsid w:val="007801EC"/>
    <w:rsid w:val="00782592"/>
    <w:rsid w:val="00783BDC"/>
    <w:rsid w:val="00784E21"/>
    <w:rsid w:val="0078563E"/>
    <w:rsid w:val="007918E5"/>
    <w:rsid w:val="00791BF3"/>
    <w:rsid w:val="007953B0"/>
    <w:rsid w:val="007A2B3B"/>
    <w:rsid w:val="007A4502"/>
    <w:rsid w:val="007A52F1"/>
    <w:rsid w:val="007A76FB"/>
    <w:rsid w:val="007B16F9"/>
    <w:rsid w:val="007B1821"/>
    <w:rsid w:val="007B5D0B"/>
    <w:rsid w:val="007B6E77"/>
    <w:rsid w:val="007C0A2A"/>
    <w:rsid w:val="007C2130"/>
    <w:rsid w:val="007D2455"/>
    <w:rsid w:val="007D4DF2"/>
    <w:rsid w:val="007D5449"/>
    <w:rsid w:val="007D6428"/>
    <w:rsid w:val="007D6700"/>
    <w:rsid w:val="007E1471"/>
    <w:rsid w:val="007E1A39"/>
    <w:rsid w:val="007E2229"/>
    <w:rsid w:val="007E6209"/>
    <w:rsid w:val="007E6FD6"/>
    <w:rsid w:val="007F1926"/>
    <w:rsid w:val="007F1F90"/>
    <w:rsid w:val="007F2BA3"/>
    <w:rsid w:val="0080010B"/>
    <w:rsid w:val="008025D5"/>
    <w:rsid w:val="0081090B"/>
    <w:rsid w:val="00812AB5"/>
    <w:rsid w:val="00812CC8"/>
    <w:rsid w:val="00816C56"/>
    <w:rsid w:val="0082617A"/>
    <w:rsid w:val="008266CC"/>
    <w:rsid w:val="00827B98"/>
    <w:rsid w:val="00841E0F"/>
    <w:rsid w:val="00842458"/>
    <w:rsid w:val="00851A9C"/>
    <w:rsid w:val="00851F00"/>
    <w:rsid w:val="00852EFD"/>
    <w:rsid w:val="00854518"/>
    <w:rsid w:val="00856E74"/>
    <w:rsid w:val="008571D4"/>
    <w:rsid w:val="0086003A"/>
    <w:rsid w:val="00862FFA"/>
    <w:rsid w:val="008742DC"/>
    <w:rsid w:val="00874C84"/>
    <w:rsid w:val="0087543A"/>
    <w:rsid w:val="00876594"/>
    <w:rsid w:val="0088374C"/>
    <w:rsid w:val="00892B5E"/>
    <w:rsid w:val="00893D0E"/>
    <w:rsid w:val="00896D19"/>
    <w:rsid w:val="008A05A8"/>
    <w:rsid w:val="008A17E4"/>
    <w:rsid w:val="008A267B"/>
    <w:rsid w:val="008A5018"/>
    <w:rsid w:val="008A6E7B"/>
    <w:rsid w:val="008B04B5"/>
    <w:rsid w:val="008C0251"/>
    <w:rsid w:val="008C1539"/>
    <w:rsid w:val="008C2EA2"/>
    <w:rsid w:val="008C6133"/>
    <w:rsid w:val="008C6CA5"/>
    <w:rsid w:val="008D21E7"/>
    <w:rsid w:val="008D284E"/>
    <w:rsid w:val="008D2AF4"/>
    <w:rsid w:val="008D2C6D"/>
    <w:rsid w:val="008D3E6E"/>
    <w:rsid w:val="008E0BA3"/>
    <w:rsid w:val="008E1E65"/>
    <w:rsid w:val="008E4043"/>
    <w:rsid w:val="008E5032"/>
    <w:rsid w:val="008E7247"/>
    <w:rsid w:val="008F1F6F"/>
    <w:rsid w:val="008F4861"/>
    <w:rsid w:val="00900FC9"/>
    <w:rsid w:val="00904835"/>
    <w:rsid w:val="009116F2"/>
    <w:rsid w:val="00916AE9"/>
    <w:rsid w:val="00920D43"/>
    <w:rsid w:val="009226A8"/>
    <w:rsid w:val="00922855"/>
    <w:rsid w:val="00922AB1"/>
    <w:rsid w:val="00924936"/>
    <w:rsid w:val="00925257"/>
    <w:rsid w:val="00925AEF"/>
    <w:rsid w:val="00926795"/>
    <w:rsid w:val="0093092E"/>
    <w:rsid w:val="00940076"/>
    <w:rsid w:val="00940089"/>
    <w:rsid w:val="00946282"/>
    <w:rsid w:val="00953651"/>
    <w:rsid w:val="0095492F"/>
    <w:rsid w:val="00957FCE"/>
    <w:rsid w:val="00961F1D"/>
    <w:rsid w:val="009667BA"/>
    <w:rsid w:val="009679FB"/>
    <w:rsid w:val="00967B54"/>
    <w:rsid w:val="009716B4"/>
    <w:rsid w:val="0097342D"/>
    <w:rsid w:val="009756EF"/>
    <w:rsid w:val="00980631"/>
    <w:rsid w:val="00980DE9"/>
    <w:rsid w:val="00982F29"/>
    <w:rsid w:val="009910F1"/>
    <w:rsid w:val="00995CD8"/>
    <w:rsid w:val="00996B96"/>
    <w:rsid w:val="009B0D69"/>
    <w:rsid w:val="009B4161"/>
    <w:rsid w:val="009B7EC7"/>
    <w:rsid w:val="009C27A3"/>
    <w:rsid w:val="009C6F3F"/>
    <w:rsid w:val="009D6293"/>
    <w:rsid w:val="009E0547"/>
    <w:rsid w:val="009E090B"/>
    <w:rsid w:val="009E1648"/>
    <w:rsid w:val="009E1A8F"/>
    <w:rsid w:val="009E5609"/>
    <w:rsid w:val="009E6826"/>
    <w:rsid w:val="009F2F1A"/>
    <w:rsid w:val="009F55F0"/>
    <w:rsid w:val="00A01D6B"/>
    <w:rsid w:val="00A05054"/>
    <w:rsid w:val="00A06247"/>
    <w:rsid w:val="00A07AC3"/>
    <w:rsid w:val="00A12686"/>
    <w:rsid w:val="00A1516C"/>
    <w:rsid w:val="00A204FE"/>
    <w:rsid w:val="00A240BE"/>
    <w:rsid w:val="00A348A6"/>
    <w:rsid w:val="00A36F2A"/>
    <w:rsid w:val="00A433BA"/>
    <w:rsid w:val="00A50547"/>
    <w:rsid w:val="00A525E3"/>
    <w:rsid w:val="00A55D84"/>
    <w:rsid w:val="00A56F5E"/>
    <w:rsid w:val="00A627F4"/>
    <w:rsid w:val="00A67A0F"/>
    <w:rsid w:val="00A7448C"/>
    <w:rsid w:val="00A74543"/>
    <w:rsid w:val="00A75053"/>
    <w:rsid w:val="00A766D1"/>
    <w:rsid w:val="00A810E4"/>
    <w:rsid w:val="00A90FBD"/>
    <w:rsid w:val="00A920DB"/>
    <w:rsid w:val="00A92678"/>
    <w:rsid w:val="00A93608"/>
    <w:rsid w:val="00A95560"/>
    <w:rsid w:val="00A95783"/>
    <w:rsid w:val="00A97FD7"/>
    <w:rsid w:val="00AA13BB"/>
    <w:rsid w:val="00AA1992"/>
    <w:rsid w:val="00AA1BDB"/>
    <w:rsid w:val="00AA756F"/>
    <w:rsid w:val="00AB139A"/>
    <w:rsid w:val="00AB2DD2"/>
    <w:rsid w:val="00AB68EF"/>
    <w:rsid w:val="00AB709A"/>
    <w:rsid w:val="00AC1155"/>
    <w:rsid w:val="00AC625D"/>
    <w:rsid w:val="00AD146C"/>
    <w:rsid w:val="00AD1AB1"/>
    <w:rsid w:val="00AD2E6D"/>
    <w:rsid w:val="00AD505E"/>
    <w:rsid w:val="00AD5EEE"/>
    <w:rsid w:val="00AD759D"/>
    <w:rsid w:val="00AE3B65"/>
    <w:rsid w:val="00AF1228"/>
    <w:rsid w:val="00AF28A3"/>
    <w:rsid w:val="00AF44E0"/>
    <w:rsid w:val="00AF6369"/>
    <w:rsid w:val="00B07EAD"/>
    <w:rsid w:val="00B12A63"/>
    <w:rsid w:val="00B17F57"/>
    <w:rsid w:val="00B20DCC"/>
    <w:rsid w:val="00B221F3"/>
    <w:rsid w:val="00B300DC"/>
    <w:rsid w:val="00B305AE"/>
    <w:rsid w:val="00B32A79"/>
    <w:rsid w:val="00B33CD8"/>
    <w:rsid w:val="00B34248"/>
    <w:rsid w:val="00B35968"/>
    <w:rsid w:val="00B46E05"/>
    <w:rsid w:val="00B470AD"/>
    <w:rsid w:val="00B4794B"/>
    <w:rsid w:val="00B52019"/>
    <w:rsid w:val="00B520EA"/>
    <w:rsid w:val="00B55AE7"/>
    <w:rsid w:val="00B576BD"/>
    <w:rsid w:val="00B576F3"/>
    <w:rsid w:val="00B57A2F"/>
    <w:rsid w:val="00B7473C"/>
    <w:rsid w:val="00B767F5"/>
    <w:rsid w:val="00B808AB"/>
    <w:rsid w:val="00B80E7B"/>
    <w:rsid w:val="00B82515"/>
    <w:rsid w:val="00B8320C"/>
    <w:rsid w:val="00B91564"/>
    <w:rsid w:val="00B9405C"/>
    <w:rsid w:val="00B950CD"/>
    <w:rsid w:val="00B97751"/>
    <w:rsid w:val="00BA0BD3"/>
    <w:rsid w:val="00BA18BE"/>
    <w:rsid w:val="00BA6EC0"/>
    <w:rsid w:val="00BB1E9C"/>
    <w:rsid w:val="00BB2191"/>
    <w:rsid w:val="00BB5FC6"/>
    <w:rsid w:val="00BB6F97"/>
    <w:rsid w:val="00BC0F40"/>
    <w:rsid w:val="00BC31BD"/>
    <w:rsid w:val="00BC42DB"/>
    <w:rsid w:val="00BC5E80"/>
    <w:rsid w:val="00BE1E90"/>
    <w:rsid w:val="00BE324D"/>
    <w:rsid w:val="00BE5D05"/>
    <w:rsid w:val="00BE7558"/>
    <w:rsid w:val="00BE7E77"/>
    <w:rsid w:val="00C02C59"/>
    <w:rsid w:val="00C069C8"/>
    <w:rsid w:val="00C13EEA"/>
    <w:rsid w:val="00C14803"/>
    <w:rsid w:val="00C17A4A"/>
    <w:rsid w:val="00C21DDF"/>
    <w:rsid w:val="00C2332A"/>
    <w:rsid w:val="00C24230"/>
    <w:rsid w:val="00C33663"/>
    <w:rsid w:val="00C36180"/>
    <w:rsid w:val="00C41784"/>
    <w:rsid w:val="00C41A50"/>
    <w:rsid w:val="00C41F79"/>
    <w:rsid w:val="00C42E17"/>
    <w:rsid w:val="00C464CC"/>
    <w:rsid w:val="00C51532"/>
    <w:rsid w:val="00C54095"/>
    <w:rsid w:val="00C56893"/>
    <w:rsid w:val="00C6196E"/>
    <w:rsid w:val="00C62F43"/>
    <w:rsid w:val="00C64ABB"/>
    <w:rsid w:val="00C65662"/>
    <w:rsid w:val="00C67427"/>
    <w:rsid w:val="00C7089D"/>
    <w:rsid w:val="00C70C61"/>
    <w:rsid w:val="00C74405"/>
    <w:rsid w:val="00C7485A"/>
    <w:rsid w:val="00C76F95"/>
    <w:rsid w:val="00C7746B"/>
    <w:rsid w:val="00C77588"/>
    <w:rsid w:val="00C77C33"/>
    <w:rsid w:val="00C77CF5"/>
    <w:rsid w:val="00C854C5"/>
    <w:rsid w:val="00C86937"/>
    <w:rsid w:val="00C8706F"/>
    <w:rsid w:val="00C9348C"/>
    <w:rsid w:val="00C94721"/>
    <w:rsid w:val="00C96580"/>
    <w:rsid w:val="00CA243D"/>
    <w:rsid w:val="00CA3C2E"/>
    <w:rsid w:val="00CA4EEE"/>
    <w:rsid w:val="00CA5BD0"/>
    <w:rsid w:val="00CB1292"/>
    <w:rsid w:val="00CB5C59"/>
    <w:rsid w:val="00CB7588"/>
    <w:rsid w:val="00CC0584"/>
    <w:rsid w:val="00CC139F"/>
    <w:rsid w:val="00CD1F5E"/>
    <w:rsid w:val="00CD39EB"/>
    <w:rsid w:val="00CD4B87"/>
    <w:rsid w:val="00CD5200"/>
    <w:rsid w:val="00CE35CE"/>
    <w:rsid w:val="00CF4688"/>
    <w:rsid w:val="00CF5C71"/>
    <w:rsid w:val="00D00698"/>
    <w:rsid w:val="00D040F1"/>
    <w:rsid w:val="00D066AB"/>
    <w:rsid w:val="00D0722D"/>
    <w:rsid w:val="00D11384"/>
    <w:rsid w:val="00D11B3F"/>
    <w:rsid w:val="00D20277"/>
    <w:rsid w:val="00D21309"/>
    <w:rsid w:val="00D215C6"/>
    <w:rsid w:val="00D2268F"/>
    <w:rsid w:val="00D230AE"/>
    <w:rsid w:val="00D2337A"/>
    <w:rsid w:val="00D23542"/>
    <w:rsid w:val="00D23ED2"/>
    <w:rsid w:val="00D24D9C"/>
    <w:rsid w:val="00D301D8"/>
    <w:rsid w:val="00D36D74"/>
    <w:rsid w:val="00D52037"/>
    <w:rsid w:val="00D524F6"/>
    <w:rsid w:val="00D52645"/>
    <w:rsid w:val="00D56F64"/>
    <w:rsid w:val="00D56F7F"/>
    <w:rsid w:val="00D579EC"/>
    <w:rsid w:val="00D57B1F"/>
    <w:rsid w:val="00D60E94"/>
    <w:rsid w:val="00D62018"/>
    <w:rsid w:val="00D633DF"/>
    <w:rsid w:val="00D653EA"/>
    <w:rsid w:val="00D6582F"/>
    <w:rsid w:val="00D65FE3"/>
    <w:rsid w:val="00D756FF"/>
    <w:rsid w:val="00D84E6F"/>
    <w:rsid w:val="00D84F5C"/>
    <w:rsid w:val="00D859BB"/>
    <w:rsid w:val="00D86E0D"/>
    <w:rsid w:val="00D92C86"/>
    <w:rsid w:val="00D94027"/>
    <w:rsid w:val="00D95050"/>
    <w:rsid w:val="00D97F0E"/>
    <w:rsid w:val="00DA6033"/>
    <w:rsid w:val="00DA76C0"/>
    <w:rsid w:val="00DA7C49"/>
    <w:rsid w:val="00DB190A"/>
    <w:rsid w:val="00DB2733"/>
    <w:rsid w:val="00DB72A2"/>
    <w:rsid w:val="00DC019E"/>
    <w:rsid w:val="00DC07D2"/>
    <w:rsid w:val="00DD7B86"/>
    <w:rsid w:val="00DE0055"/>
    <w:rsid w:val="00DE219C"/>
    <w:rsid w:val="00DE2315"/>
    <w:rsid w:val="00DE3C60"/>
    <w:rsid w:val="00DE4E0A"/>
    <w:rsid w:val="00DE749B"/>
    <w:rsid w:val="00DF4F17"/>
    <w:rsid w:val="00E00390"/>
    <w:rsid w:val="00E03437"/>
    <w:rsid w:val="00E038AB"/>
    <w:rsid w:val="00E0402D"/>
    <w:rsid w:val="00E053DE"/>
    <w:rsid w:val="00E11BA0"/>
    <w:rsid w:val="00E13C53"/>
    <w:rsid w:val="00E14434"/>
    <w:rsid w:val="00E327AD"/>
    <w:rsid w:val="00E36AEC"/>
    <w:rsid w:val="00E40A7D"/>
    <w:rsid w:val="00E435FF"/>
    <w:rsid w:val="00E43CA3"/>
    <w:rsid w:val="00E4777F"/>
    <w:rsid w:val="00E47B8A"/>
    <w:rsid w:val="00E52D8E"/>
    <w:rsid w:val="00E53663"/>
    <w:rsid w:val="00E54865"/>
    <w:rsid w:val="00E5718B"/>
    <w:rsid w:val="00E60BF7"/>
    <w:rsid w:val="00E66980"/>
    <w:rsid w:val="00E66BAC"/>
    <w:rsid w:val="00E67398"/>
    <w:rsid w:val="00E67C40"/>
    <w:rsid w:val="00E7047A"/>
    <w:rsid w:val="00E754A1"/>
    <w:rsid w:val="00E76358"/>
    <w:rsid w:val="00E80A99"/>
    <w:rsid w:val="00E81F3C"/>
    <w:rsid w:val="00E82D9D"/>
    <w:rsid w:val="00E84045"/>
    <w:rsid w:val="00E923C7"/>
    <w:rsid w:val="00E92E5D"/>
    <w:rsid w:val="00E934DD"/>
    <w:rsid w:val="00E9372D"/>
    <w:rsid w:val="00EA1539"/>
    <w:rsid w:val="00EA1AA4"/>
    <w:rsid w:val="00EA25E3"/>
    <w:rsid w:val="00EA36C1"/>
    <w:rsid w:val="00EA6AA3"/>
    <w:rsid w:val="00EB0B87"/>
    <w:rsid w:val="00EB13AD"/>
    <w:rsid w:val="00EB200B"/>
    <w:rsid w:val="00EB236A"/>
    <w:rsid w:val="00EB5DC9"/>
    <w:rsid w:val="00EB63F4"/>
    <w:rsid w:val="00EB6EE1"/>
    <w:rsid w:val="00EB7827"/>
    <w:rsid w:val="00EC072E"/>
    <w:rsid w:val="00EC2EEF"/>
    <w:rsid w:val="00EC4491"/>
    <w:rsid w:val="00EC46A4"/>
    <w:rsid w:val="00EC4F34"/>
    <w:rsid w:val="00EC5408"/>
    <w:rsid w:val="00EC6D8B"/>
    <w:rsid w:val="00EC7147"/>
    <w:rsid w:val="00EC7BEB"/>
    <w:rsid w:val="00ED58DC"/>
    <w:rsid w:val="00ED6D5F"/>
    <w:rsid w:val="00EE0B9C"/>
    <w:rsid w:val="00EF573F"/>
    <w:rsid w:val="00EF67AE"/>
    <w:rsid w:val="00F00795"/>
    <w:rsid w:val="00F01B7C"/>
    <w:rsid w:val="00F047D4"/>
    <w:rsid w:val="00F06000"/>
    <w:rsid w:val="00F14427"/>
    <w:rsid w:val="00F1494E"/>
    <w:rsid w:val="00F14C5A"/>
    <w:rsid w:val="00F15623"/>
    <w:rsid w:val="00F21598"/>
    <w:rsid w:val="00F235E3"/>
    <w:rsid w:val="00F24BBA"/>
    <w:rsid w:val="00F25204"/>
    <w:rsid w:val="00F31A71"/>
    <w:rsid w:val="00F3396D"/>
    <w:rsid w:val="00F3612F"/>
    <w:rsid w:val="00F45BA4"/>
    <w:rsid w:val="00F473EC"/>
    <w:rsid w:val="00F475B6"/>
    <w:rsid w:val="00F47C88"/>
    <w:rsid w:val="00F502AE"/>
    <w:rsid w:val="00F532A0"/>
    <w:rsid w:val="00F653DE"/>
    <w:rsid w:val="00F72246"/>
    <w:rsid w:val="00F749CE"/>
    <w:rsid w:val="00F7798F"/>
    <w:rsid w:val="00F81F97"/>
    <w:rsid w:val="00F8238F"/>
    <w:rsid w:val="00F94FA1"/>
    <w:rsid w:val="00F95AFE"/>
    <w:rsid w:val="00F95FD7"/>
    <w:rsid w:val="00F96F44"/>
    <w:rsid w:val="00FA18EC"/>
    <w:rsid w:val="00FA35AF"/>
    <w:rsid w:val="00FA51D2"/>
    <w:rsid w:val="00FA792E"/>
    <w:rsid w:val="00FA7C36"/>
    <w:rsid w:val="00FC0D8F"/>
    <w:rsid w:val="00FC2AEF"/>
    <w:rsid w:val="00FC7425"/>
    <w:rsid w:val="00FE49EA"/>
    <w:rsid w:val="00FE72D1"/>
    <w:rsid w:val="00FF45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470D8"/>
  <w15:chartTrackingRefBased/>
  <w15:docId w15:val="{27461ECE-D346-4B53-98DC-24F2F02E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041"/>
    <w:pPr>
      <w:widowControl w:val="0"/>
    </w:pPr>
    <w:rPr>
      <w:rFonts w:ascii="DejaVu Sans Condensed" w:eastAsia="DejaVu Sans Condensed" w:hAnsi="DejaVu Sans Condensed" w:cs="DejaVu Sans Condensed"/>
      <w:noProof/>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2807B0"/>
    <w:rPr>
      <w:vertAlign w:val="superscript"/>
    </w:rPr>
  </w:style>
  <w:style w:type="paragraph" w:customStyle="1" w:styleId="LightGrid-Accent31">
    <w:name w:val="Light Grid - Accent 31"/>
    <w:basedOn w:val="Normal"/>
    <w:uiPriority w:val="34"/>
    <w:qFormat/>
    <w:rsid w:val="002807B0"/>
    <w:pPr>
      <w:ind w:left="720"/>
      <w:contextualSpacing/>
    </w:pPr>
  </w:style>
  <w:style w:type="paragraph" w:styleId="NormalWeb">
    <w:name w:val="Normal (Web)"/>
    <w:basedOn w:val="Normal"/>
    <w:uiPriority w:val="99"/>
    <w:unhideWhenUsed/>
    <w:rsid w:val="00CC139F"/>
    <w:pPr>
      <w:widowControl/>
      <w:spacing w:before="100" w:beforeAutospacing="1" w:after="100" w:afterAutospacing="1"/>
    </w:pPr>
    <w:rPr>
      <w:rFonts w:ascii="Times New Roman" w:eastAsia="Times New Roman" w:hAnsi="Times New Roman" w:cs="Times New Roman"/>
      <w:color w:val="auto"/>
      <w:lang w:eastAsia="en-US"/>
    </w:rPr>
  </w:style>
  <w:style w:type="paragraph" w:styleId="BalloonText">
    <w:name w:val="Balloon Text"/>
    <w:basedOn w:val="Normal"/>
    <w:link w:val="BalloonTextChar"/>
    <w:uiPriority w:val="99"/>
    <w:semiHidden/>
    <w:unhideWhenUsed/>
    <w:rsid w:val="00D36D74"/>
    <w:rPr>
      <w:rFonts w:ascii="Segoe UI" w:hAnsi="Segoe UI" w:cs="Times New Roman"/>
      <w:noProof w:val="0"/>
      <w:sz w:val="18"/>
      <w:szCs w:val="18"/>
      <w:lang w:val="vi-VN"/>
    </w:rPr>
  </w:style>
  <w:style w:type="character" w:customStyle="1" w:styleId="BalloonTextChar">
    <w:name w:val="Balloon Text Char"/>
    <w:link w:val="BalloonText"/>
    <w:uiPriority w:val="99"/>
    <w:semiHidden/>
    <w:rsid w:val="00D36D74"/>
    <w:rPr>
      <w:rFonts w:ascii="Segoe UI" w:eastAsia="DejaVu Sans Condensed" w:hAnsi="Segoe UI" w:cs="Segoe UI"/>
      <w:color w:val="000000"/>
      <w:sz w:val="18"/>
      <w:szCs w:val="18"/>
      <w:lang w:val="vi-VN" w:eastAsia="vi-VN"/>
    </w:rPr>
  </w:style>
  <w:style w:type="paragraph" w:styleId="Header">
    <w:name w:val="header"/>
    <w:basedOn w:val="Normal"/>
    <w:link w:val="HeaderChar"/>
    <w:uiPriority w:val="99"/>
    <w:unhideWhenUsed/>
    <w:rsid w:val="007953B0"/>
    <w:pPr>
      <w:tabs>
        <w:tab w:val="center" w:pos="4680"/>
        <w:tab w:val="right" w:pos="9360"/>
      </w:tabs>
    </w:pPr>
    <w:rPr>
      <w:rFonts w:cs="Times New Roman"/>
      <w:noProof w:val="0"/>
      <w:lang w:val="vi-VN"/>
    </w:rPr>
  </w:style>
  <w:style w:type="character" w:customStyle="1" w:styleId="HeaderChar">
    <w:name w:val="Header Char"/>
    <w:link w:val="Header"/>
    <w:uiPriority w:val="99"/>
    <w:rsid w:val="007953B0"/>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7953B0"/>
    <w:pPr>
      <w:tabs>
        <w:tab w:val="center" w:pos="4680"/>
        <w:tab w:val="right" w:pos="9360"/>
      </w:tabs>
    </w:pPr>
    <w:rPr>
      <w:rFonts w:cs="Times New Roman"/>
      <w:noProof w:val="0"/>
      <w:lang w:val="vi-VN"/>
    </w:rPr>
  </w:style>
  <w:style w:type="character" w:customStyle="1" w:styleId="FooterChar">
    <w:name w:val="Footer Char"/>
    <w:link w:val="Footer"/>
    <w:uiPriority w:val="99"/>
    <w:rsid w:val="007953B0"/>
    <w:rPr>
      <w:rFonts w:ascii="DejaVu Sans Condensed" w:eastAsia="DejaVu Sans Condensed" w:hAnsi="DejaVu Sans Condensed" w:cs="DejaVu Sans Condensed"/>
      <w:color w:val="000000"/>
      <w:sz w:val="24"/>
      <w:szCs w:val="24"/>
      <w:lang w:val="vi-VN" w:eastAsia="vi-VN"/>
    </w:rPr>
  </w:style>
  <w:style w:type="paragraph" w:customStyle="1" w:styleId="bodytext1">
    <w:name w:val="bodytext1"/>
    <w:basedOn w:val="Normal"/>
    <w:rsid w:val="0035580A"/>
    <w:pPr>
      <w:widowControl/>
      <w:spacing w:before="100" w:beforeAutospacing="1" w:after="100" w:afterAutospacing="1"/>
    </w:pPr>
    <w:rPr>
      <w:rFonts w:ascii="Times New Roman" w:eastAsia="Times New Roman" w:hAnsi="Times New Roman" w:cs="Times New Roman"/>
      <w:color w:val="auto"/>
      <w:lang w:eastAsia="en-US"/>
    </w:rPr>
  </w:style>
  <w:style w:type="paragraph" w:customStyle="1" w:styleId="MediumGrid1-Accent21">
    <w:name w:val="Medium Grid 1 - Accent 21"/>
    <w:basedOn w:val="Normal"/>
    <w:uiPriority w:val="34"/>
    <w:qFormat/>
    <w:rsid w:val="00E60BF7"/>
    <w:pPr>
      <w:ind w:left="720"/>
      <w:contextualSpacing/>
    </w:pPr>
    <w:rPr>
      <w:noProof w:val="0"/>
      <w:lang w:val="vi-VN"/>
    </w:rPr>
  </w:style>
  <w:style w:type="character" w:styleId="Hyperlink">
    <w:name w:val="Hyperlink"/>
    <w:rsid w:val="00E60BF7"/>
    <w:rPr>
      <w:color w:val="0000FF"/>
      <w:u w:val="single"/>
    </w:rPr>
  </w:style>
  <w:style w:type="character" w:styleId="CommentReference">
    <w:name w:val="annotation reference"/>
    <w:uiPriority w:val="99"/>
    <w:semiHidden/>
    <w:unhideWhenUsed/>
    <w:rsid w:val="001D7F78"/>
    <w:rPr>
      <w:sz w:val="16"/>
      <w:szCs w:val="16"/>
    </w:rPr>
  </w:style>
  <w:style w:type="paragraph" w:styleId="CommentText">
    <w:name w:val="annotation text"/>
    <w:basedOn w:val="Normal"/>
    <w:link w:val="CommentTextChar"/>
    <w:uiPriority w:val="99"/>
    <w:semiHidden/>
    <w:unhideWhenUsed/>
    <w:rsid w:val="001D7F78"/>
    <w:rPr>
      <w:sz w:val="20"/>
      <w:szCs w:val="20"/>
    </w:rPr>
  </w:style>
  <w:style w:type="character" w:customStyle="1" w:styleId="CommentTextChar">
    <w:name w:val="Comment Text Char"/>
    <w:link w:val="CommentText"/>
    <w:uiPriority w:val="99"/>
    <w:semiHidden/>
    <w:rsid w:val="001D7F78"/>
    <w:rPr>
      <w:rFonts w:ascii="DejaVu Sans Condensed" w:eastAsia="DejaVu Sans Condensed" w:hAnsi="DejaVu Sans Condensed" w:cs="DejaVu Sans Condensed"/>
      <w:noProof/>
      <w:color w:val="000000"/>
      <w:lang w:eastAsia="vi-VN"/>
    </w:rPr>
  </w:style>
  <w:style w:type="paragraph" w:styleId="CommentSubject">
    <w:name w:val="annotation subject"/>
    <w:basedOn w:val="CommentText"/>
    <w:next w:val="CommentText"/>
    <w:link w:val="CommentSubjectChar"/>
    <w:uiPriority w:val="99"/>
    <w:semiHidden/>
    <w:unhideWhenUsed/>
    <w:rsid w:val="001D7F78"/>
    <w:rPr>
      <w:b/>
      <w:bCs/>
    </w:rPr>
  </w:style>
  <w:style w:type="character" w:customStyle="1" w:styleId="CommentSubjectChar">
    <w:name w:val="Comment Subject Char"/>
    <w:link w:val="CommentSubject"/>
    <w:uiPriority w:val="99"/>
    <w:semiHidden/>
    <w:rsid w:val="001D7F78"/>
    <w:rPr>
      <w:rFonts w:ascii="DejaVu Sans Condensed" w:eastAsia="DejaVu Sans Condensed" w:hAnsi="DejaVu Sans Condensed" w:cs="DejaVu Sans Condensed"/>
      <w:b/>
      <w:bCs/>
      <w:noProof/>
      <w:color w:val="000000"/>
      <w:lang w:eastAsia="vi-VN"/>
    </w:rPr>
  </w:style>
  <w:style w:type="paragraph" w:styleId="ListParagraph">
    <w:name w:val="List Paragraph"/>
    <w:basedOn w:val="Normal"/>
    <w:uiPriority w:val="34"/>
    <w:qFormat/>
    <w:rsid w:val="000C3DDB"/>
    <w:pPr>
      <w:widowControl/>
      <w:ind w:left="720"/>
    </w:pPr>
    <w:rPr>
      <w:rFonts w:ascii="Times New Roman" w:eastAsia="Times New Roman" w:hAnsi="Times New Roman" w:cs="Times New Roman"/>
      <w:noProof w:val="0"/>
      <w:color w:val="auto"/>
      <w:sz w:val="28"/>
      <w:szCs w:val="28"/>
      <w:lang w:eastAsia="en-US"/>
    </w:rPr>
  </w:style>
  <w:style w:type="table" w:styleId="TableGrid">
    <w:name w:val="Table Grid"/>
    <w:basedOn w:val="TableNormal"/>
    <w:uiPriority w:val="39"/>
    <w:rsid w:val="00C77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1659">
      <w:bodyDiv w:val="1"/>
      <w:marLeft w:val="0"/>
      <w:marRight w:val="0"/>
      <w:marTop w:val="0"/>
      <w:marBottom w:val="0"/>
      <w:divBdr>
        <w:top w:val="none" w:sz="0" w:space="0" w:color="auto"/>
        <w:left w:val="none" w:sz="0" w:space="0" w:color="auto"/>
        <w:bottom w:val="none" w:sz="0" w:space="0" w:color="auto"/>
        <w:right w:val="none" w:sz="0" w:space="0" w:color="auto"/>
      </w:divBdr>
    </w:div>
    <w:div w:id="471413907">
      <w:bodyDiv w:val="1"/>
      <w:marLeft w:val="0"/>
      <w:marRight w:val="0"/>
      <w:marTop w:val="0"/>
      <w:marBottom w:val="0"/>
      <w:divBdr>
        <w:top w:val="none" w:sz="0" w:space="0" w:color="auto"/>
        <w:left w:val="none" w:sz="0" w:space="0" w:color="auto"/>
        <w:bottom w:val="none" w:sz="0" w:space="0" w:color="auto"/>
        <w:right w:val="none" w:sz="0" w:space="0" w:color="auto"/>
      </w:divBdr>
    </w:div>
    <w:div w:id="487525793">
      <w:bodyDiv w:val="1"/>
      <w:marLeft w:val="0"/>
      <w:marRight w:val="0"/>
      <w:marTop w:val="0"/>
      <w:marBottom w:val="0"/>
      <w:divBdr>
        <w:top w:val="none" w:sz="0" w:space="0" w:color="auto"/>
        <w:left w:val="none" w:sz="0" w:space="0" w:color="auto"/>
        <w:bottom w:val="none" w:sz="0" w:space="0" w:color="auto"/>
        <w:right w:val="none" w:sz="0" w:space="0" w:color="auto"/>
      </w:divBdr>
    </w:div>
    <w:div w:id="502285008">
      <w:bodyDiv w:val="1"/>
      <w:marLeft w:val="0"/>
      <w:marRight w:val="0"/>
      <w:marTop w:val="0"/>
      <w:marBottom w:val="0"/>
      <w:divBdr>
        <w:top w:val="none" w:sz="0" w:space="0" w:color="auto"/>
        <w:left w:val="none" w:sz="0" w:space="0" w:color="auto"/>
        <w:bottom w:val="none" w:sz="0" w:space="0" w:color="auto"/>
        <w:right w:val="none" w:sz="0" w:space="0" w:color="auto"/>
      </w:divBdr>
    </w:div>
    <w:div w:id="875852303">
      <w:bodyDiv w:val="1"/>
      <w:marLeft w:val="0"/>
      <w:marRight w:val="0"/>
      <w:marTop w:val="0"/>
      <w:marBottom w:val="0"/>
      <w:divBdr>
        <w:top w:val="none" w:sz="0" w:space="0" w:color="auto"/>
        <w:left w:val="none" w:sz="0" w:space="0" w:color="auto"/>
        <w:bottom w:val="none" w:sz="0" w:space="0" w:color="auto"/>
        <w:right w:val="none" w:sz="0" w:space="0" w:color="auto"/>
      </w:divBdr>
    </w:div>
    <w:div w:id="1028943603">
      <w:bodyDiv w:val="1"/>
      <w:marLeft w:val="0"/>
      <w:marRight w:val="0"/>
      <w:marTop w:val="0"/>
      <w:marBottom w:val="0"/>
      <w:divBdr>
        <w:top w:val="none" w:sz="0" w:space="0" w:color="auto"/>
        <w:left w:val="none" w:sz="0" w:space="0" w:color="auto"/>
        <w:bottom w:val="none" w:sz="0" w:space="0" w:color="auto"/>
        <w:right w:val="none" w:sz="0" w:space="0" w:color="auto"/>
      </w:divBdr>
    </w:div>
    <w:div w:id="1230653144">
      <w:bodyDiv w:val="1"/>
      <w:marLeft w:val="0"/>
      <w:marRight w:val="0"/>
      <w:marTop w:val="0"/>
      <w:marBottom w:val="0"/>
      <w:divBdr>
        <w:top w:val="none" w:sz="0" w:space="0" w:color="auto"/>
        <w:left w:val="none" w:sz="0" w:space="0" w:color="auto"/>
        <w:bottom w:val="none" w:sz="0" w:space="0" w:color="auto"/>
        <w:right w:val="none" w:sz="0" w:space="0" w:color="auto"/>
      </w:divBdr>
    </w:div>
    <w:div w:id="1285697159">
      <w:bodyDiv w:val="1"/>
      <w:marLeft w:val="0"/>
      <w:marRight w:val="0"/>
      <w:marTop w:val="0"/>
      <w:marBottom w:val="0"/>
      <w:divBdr>
        <w:top w:val="none" w:sz="0" w:space="0" w:color="auto"/>
        <w:left w:val="none" w:sz="0" w:space="0" w:color="auto"/>
        <w:bottom w:val="none" w:sz="0" w:space="0" w:color="auto"/>
        <w:right w:val="none" w:sz="0" w:space="0" w:color="auto"/>
      </w:divBdr>
    </w:div>
    <w:div w:id="1381708951">
      <w:bodyDiv w:val="1"/>
      <w:marLeft w:val="0"/>
      <w:marRight w:val="0"/>
      <w:marTop w:val="0"/>
      <w:marBottom w:val="0"/>
      <w:divBdr>
        <w:top w:val="none" w:sz="0" w:space="0" w:color="auto"/>
        <w:left w:val="none" w:sz="0" w:space="0" w:color="auto"/>
        <w:bottom w:val="none" w:sz="0" w:space="0" w:color="auto"/>
        <w:right w:val="none" w:sz="0" w:space="0" w:color="auto"/>
      </w:divBdr>
    </w:div>
    <w:div w:id="1490052560">
      <w:bodyDiv w:val="1"/>
      <w:marLeft w:val="0"/>
      <w:marRight w:val="0"/>
      <w:marTop w:val="0"/>
      <w:marBottom w:val="0"/>
      <w:divBdr>
        <w:top w:val="none" w:sz="0" w:space="0" w:color="auto"/>
        <w:left w:val="none" w:sz="0" w:space="0" w:color="auto"/>
        <w:bottom w:val="none" w:sz="0" w:space="0" w:color="auto"/>
        <w:right w:val="none" w:sz="0" w:space="0" w:color="auto"/>
      </w:divBdr>
    </w:div>
    <w:div w:id="156830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9533B-E0D8-4B43-89D9-9DEC867E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17499</CharactersWithSpaces>
  <SharedDoc>false</SharedDoc>
  <HLinks>
    <vt:vector size="12" baseType="variant">
      <vt:variant>
        <vt:i4>2687101</vt:i4>
      </vt:variant>
      <vt:variant>
        <vt:i4>3</vt:i4>
      </vt:variant>
      <vt:variant>
        <vt:i4>0</vt:i4>
      </vt:variant>
      <vt:variant>
        <vt:i4>5</vt:i4>
      </vt:variant>
      <vt:variant>
        <vt:lpwstr>http://www.most.gov.vn/Attachments/34e17cd17d11444284410ba8ab614205-Ngh%E1%BB%8B %C4%91%E1%BB%8Bnh s%E1%BB%91 122_2003_N%C4%90-CP.doc</vt:lpwstr>
      </vt:variant>
      <vt:variant>
        <vt:lpwstr/>
      </vt:variant>
      <vt:variant>
        <vt:i4>2687101</vt:i4>
      </vt:variant>
      <vt:variant>
        <vt:i4>0</vt:i4>
      </vt:variant>
      <vt:variant>
        <vt:i4>0</vt:i4>
      </vt:variant>
      <vt:variant>
        <vt:i4>5</vt:i4>
      </vt:variant>
      <vt:variant>
        <vt:lpwstr>http://www.most.gov.vn/Attachments/34e17cd17d11444284410ba8ab614205-Ngh%E1%BB%8B %C4%91%E1%BB%8Bnh s%E1%BB%91 122_2003_N%C4%90-CP.doc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37</cp:revision>
  <cp:lastPrinted>2025-01-23T07:34:00Z</cp:lastPrinted>
  <dcterms:created xsi:type="dcterms:W3CDTF">2025-01-24T02:51:00Z</dcterms:created>
  <dcterms:modified xsi:type="dcterms:W3CDTF">2025-01-24T04:18:00Z</dcterms:modified>
</cp:coreProperties>
</file>